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4C49" w:rsidRPr="00390699" w:rsidRDefault="00BB4C49" w:rsidP="00BB4C49">
      <w:pPr>
        <w:rPr>
          <w:lang w:val="fr-FR"/>
        </w:rPr>
        <w:sectPr w:rsidR="00BB4C49" w:rsidRPr="00390699" w:rsidSect="00BB4C49">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557" w:right="1134" w:bottom="2835" w:left="1134" w:header="567" w:footer="567" w:gutter="0"/>
          <w:cols w:space="708"/>
          <w:docGrid w:linePitch="360"/>
        </w:sectPr>
      </w:pPr>
    </w:p>
    <w:tbl>
      <w:tblPr>
        <w:tblStyle w:val="Grilledutableau"/>
        <w:tblpPr w:vertAnchor="page" w:horzAnchor="margin" w:tblpY="4282"/>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42"/>
        <w:gridCol w:w="8897"/>
      </w:tblGrid>
      <w:tr w:rsidR="00AE00FD" w:rsidRPr="00390699" w:rsidTr="00F32029">
        <w:trPr>
          <w:trHeight w:hRule="exact" w:val="160"/>
        </w:trPr>
        <w:tc>
          <w:tcPr>
            <w:tcW w:w="9639" w:type="dxa"/>
            <w:gridSpan w:val="2"/>
          </w:tcPr>
          <w:p w:rsidR="00AE00FD" w:rsidRPr="00390699" w:rsidRDefault="00F32029" w:rsidP="00F32029">
            <w:pPr>
              <w:pStyle w:val="Date"/>
              <w:framePr w:wrap="auto" w:vAnchor="margin" w:hAnchor="text" w:yAlign="inline"/>
              <w:rPr>
                <w:lang w:val="fr-FR"/>
              </w:rPr>
            </w:pPr>
            <w:r w:rsidRPr="00390699">
              <w:rPr>
                <w:lang w:val="fr-FR"/>
              </w:rPr>
              <w:t xml:space="preserve">Date : </w:t>
            </w:r>
            <w:r w:rsidR="007A7F80">
              <w:rPr>
                <w:lang w:val="fr-FR"/>
              </w:rPr>
              <w:t>2</w:t>
            </w:r>
            <w:r w:rsidR="00FD42C4">
              <w:rPr>
                <w:lang w:val="fr-FR"/>
              </w:rPr>
              <w:t>7</w:t>
            </w:r>
            <w:bookmarkStart w:id="0" w:name="_GoBack"/>
            <w:bookmarkEnd w:id="0"/>
            <w:r w:rsidR="00EC7197">
              <w:rPr>
                <w:lang w:val="fr-FR"/>
              </w:rPr>
              <w:t xml:space="preserve"> 09 2019</w:t>
            </w:r>
          </w:p>
        </w:tc>
      </w:tr>
      <w:tr w:rsidR="00AE00FD" w:rsidRPr="00390699" w:rsidTr="00F32029">
        <w:trPr>
          <w:trHeight w:hRule="exact" w:val="160"/>
        </w:trPr>
        <w:tc>
          <w:tcPr>
            <w:tcW w:w="9639" w:type="dxa"/>
            <w:gridSpan w:val="2"/>
          </w:tcPr>
          <w:p w:rsidR="00AE00FD" w:rsidRPr="00390699" w:rsidRDefault="00390699" w:rsidP="00F32029">
            <w:pPr>
              <w:pStyle w:val="Rfrence"/>
              <w:framePr w:wrap="auto" w:vAnchor="margin" w:hAnchor="text" w:yAlign="inline"/>
              <w:rPr>
                <w:lang w:val="fr-FR"/>
              </w:rPr>
            </w:pPr>
            <w:r w:rsidRPr="00390699">
              <w:rPr>
                <w:lang w:val="fr-FR"/>
              </w:rPr>
              <w:t>N° Registre de transparence  5149794935-37</w:t>
            </w:r>
          </w:p>
        </w:tc>
      </w:tr>
      <w:tr w:rsidR="00F32029" w:rsidRPr="00390699" w:rsidTr="00F32029">
        <w:trPr>
          <w:trHeight w:hRule="exact" w:val="227"/>
        </w:trPr>
        <w:tc>
          <w:tcPr>
            <w:tcW w:w="9639" w:type="dxa"/>
            <w:gridSpan w:val="2"/>
          </w:tcPr>
          <w:p w:rsidR="00F32029" w:rsidRPr="00390699" w:rsidRDefault="00F32029" w:rsidP="00F32029">
            <w:pPr>
              <w:rPr>
                <w:lang w:val="fr-FR"/>
              </w:rPr>
            </w:pPr>
          </w:p>
        </w:tc>
      </w:tr>
      <w:tr w:rsidR="00F32029" w:rsidRPr="00390699" w:rsidTr="00390699">
        <w:trPr>
          <w:trHeight w:val="310"/>
        </w:trPr>
        <w:tc>
          <w:tcPr>
            <w:tcW w:w="742" w:type="dxa"/>
          </w:tcPr>
          <w:p w:rsidR="00F32029" w:rsidRPr="00390699" w:rsidRDefault="00390699" w:rsidP="00F32029">
            <w:pPr>
              <w:pStyle w:val="Intituldelobjet"/>
              <w:framePr w:wrap="auto" w:vAnchor="margin" w:hAnchor="text" w:yAlign="inline"/>
              <w:rPr>
                <w:rStyle w:val="Textebold"/>
                <w:lang w:val="fr-FR"/>
              </w:rPr>
            </w:pPr>
            <w:r>
              <w:rPr>
                <w:rStyle w:val="Textebold"/>
                <w:lang w:val="fr-FR"/>
              </w:rPr>
              <w:t>Objet</w:t>
            </w:r>
            <w:r w:rsidR="00F32029" w:rsidRPr="00390699">
              <w:rPr>
                <w:rStyle w:val="Textebold"/>
                <w:lang w:val="fr-FR"/>
              </w:rPr>
              <w:t xml:space="preserve"> :</w:t>
            </w:r>
          </w:p>
        </w:tc>
        <w:tc>
          <w:tcPr>
            <w:tcW w:w="8897" w:type="dxa"/>
          </w:tcPr>
          <w:p w:rsidR="00AE5386" w:rsidRPr="00795BE2" w:rsidRDefault="00795BE2" w:rsidP="00F32029">
            <w:pPr>
              <w:pStyle w:val="Textedelobjet"/>
              <w:framePr w:wrap="auto" w:vAnchor="margin" w:hAnchor="text" w:yAlign="inline"/>
            </w:pPr>
            <w:r w:rsidRPr="00795BE2">
              <w:t>Consultation paper on the p</w:t>
            </w:r>
            <w:r>
              <w:t>roposal for Guidelines on outsourcing to cloud services providers</w:t>
            </w:r>
          </w:p>
        </w:tc>
      </w:tr>
      <w:tr w:rsidR="00F32029" w:rsidRPr="00390699" w:rsidTr="00F32029">
        <w:trPr>
          <w:trHeight w:hRule="exact" w:val="369"/>
        </w:trPr>
        <w:tc>
          <w:tcPr>
            <w:tcW w:w="9639" w:type="dxa"/>
            <w:gridSpan w:val="2"/>
          </w:tcPr>
          <w:p w:rsidR="00F32029" w:rsidRPr="00795BE2" w:rsidRDefault="00F32029" w:rsidP="00F32029"/>
        </w:tc>
      </w:tr>
    </w:tbl>
    <w:p w:rsidR="008F44A4" w:rsidRPr="00390699" w:rsidRDefault="00390699" w:rsidP="00F55690">
      <w:pPr>
        <w:pStyle w:val="Titre1"/>
        <w:rPr>
          <w:lang w:val="fr-FR"/>
        </w:rPr>
      </w:pPr>
      <w:r w:rsidRPr="00390699">
        <w:rPr>
          <w:lang w:val="fr-FR"/>
        </w:rPr>
        <w:t xml:space="preserve">commentaires de la fédération française </w:t>
      </w:r>
      <w:r w:rsidRPr="00390699">
        <w:rPr>
          <w:lang w:val="fr-FR"/>
        </w:rPr>
        <w:br/>
        <w:t>de l’assurance</w:t>
      </w:r>
      <w:r w:rsidR="008F44A4" w:rsidRPr="00390699">
        <w:rPr>
          <w:lang w:val="fr-FR"/>
        </w:rPr>
        <w:t xml:space="preserve"> (FFA)</w:t>
      </w:r>
    </w:p>
    <w:p w:rsidR="008F44A4" w:rsidRPr="00820751" w:rsidRDefault="00795BE2" w:rsidP="00F55690">
      <w:pPr>
        <w:pStyle w:val="Titre2"/>
      </w:pPr>
      <w:r w:rsidRPr="00820751">
        <w:t>General comments</w:t>
      </w:r>
    </w:p>
    <w:p w:rsidR="006279CA" w:rsidRPr="007A7F80" w:rsidRDefault="00DB7D11" w:rsidP="00BB4C49">
      <w:pPr>
        <w:pStyle w:val="Textedesaisie"/>
        <w:rPr>
          <w:sz w:val="20"/>
          <w:szCs w:val="20"/>
        </w:rPr>
      </w:pPr>
      <w:r w:rsidRPr="007A7F80">
        <w:rPr>
          <w:sz w:val="20"/>
          <w:szCs w:val="20"/>
        </w:rPr>
        <w:t>The FFA studied carefully the EIOPA consultation paper on the proposal for Guidelines on outsourcing to cloud service providers.</w:t>
      </w:r>
      <w:r w:rsidR="00416D4E" w:rsidRPr="007A7F80">
        <w:rPr>
          <w:sz w:val="20"/>
          <w:szCs w:val="20"/>
        </w:rPr>
        <w:t xml:space="preserve"> </w:t>
      </w:r>
      <w:r w:rsidR="00FB4804">
        <w:rPr>
          <w:sz w:val="20"/>
          <w:szCs w:val="20"/>
        </w:rPr>
        <w:t xml:space="preserve">The </w:t>
      </w:r>
      <w:r w:rsidR="00416D4E" w:rsidRPr="007A7F80">
        <w:rPr>
          <w:sz w:val="20"/>
          <w:szCs w:val="20"/>
        </w:rPr>
        <w:t>FFA thanks EIOPA for giving the possibility to comment on this proposal that really got our attention.</w:t>
      </w:r>
    </w:p>
    <w:p w:rsidR="00416D4E" w:rsidRPr="007A7F80" w:rsidRDefault="00416D4E" w:rsidP="00416D4E">
      <w:pPr>
        <w:pStyle w:val="Textedesaisie"/>
        <w:rPr>
          <w:sz w:val="20"/>
          <w:szCs w:val="20"/>
        </w:rPr>
      </w:pPr>
    </w:p>
    <w:p w:rsidR="000C5CC0" w:rsidRDefault="00416D4E" w:rsidP="00416D4E">
      <w:pPr>
        <w:pStyle w:val="Textedesaisie"/>
        <w:rPr>
          <w:sz w:val="20"/>
          <w:szCs w:val="20"/>
        </w:rPr>
      </w:pPr>
      <w:proofErr w:type="gramStart"/>
      <w:r w:rsidRPr="007A7F80">
        <w:rPr>
          <w:sz w:val="20"/>
          <w:szCs w:val="20"/>
        </w:rPr>
        <w:t>First of all</w:t>
      </w:r>
      <w:proofErr w:type="gramEnd"/>
      <w:r w:rsidRPr="007A7F80">
        <w:rPr>
          <w:sz w:val="20"/>
          <w:szCs w:val="20"/>
        </w:rPr>
        <w:t>,</w:t>
      </w:r>
      <w:r w:rsidR="000558A2">
        <w:rPr>
          <w:sz w:val="20"/>
          <w:szCs w:val="20"/>
        </w:rPr>
        <w:t xml:space="preserve"> regarding outsourcing and data protection,</w:t>
      </w:r>
      <w:r w:rsidRPr="007A7F80">
        <w:rPr>
          <w:sz w:val="20"/>
          <w:szCs w:val="20"/>
        </w:rPr>
        <w:t xml:space="preserve"> the FFA would like to precise that insurance </w:t>
      </w:r>
      <w:r w:rsidR="001F3D81">
        <w:rPr>
          <w:sz w:val="20"/>
          <w:szCs w:val="20"/>
        </w:rPr>
        <w:t>companies</w:t>
      </w:r>
      <w:r w:rsidRPr="007A7F80">
        <w:rPr>
          <w:sz w:val="20"/>
          <w:szCs w:val="20"/>
        </w:rPr>
        <w:t xml:space="preserve"> ha</w:t>
      </w:r>
      <w:r w:rsidR="00B04248">
        <w:rPr>
          <w:sz w:val="20"/>
          <w:szCs w:val="20"/>
        </w:rPr>
        <w:t>ve</w:t>
      </w:r>
      <w:r w:rsidRPr="007A7F80">
        <w:rPr>
          <w:sz w:val="20"/>
          <w:szCs w:val="20"/>
        </w:rPr>
        <w:t xml:space="preserve"> already to comply with very complete set</w:t>
      </w:r>
      <w:r w:rsidR="000C5CC0">
        <w:rPr>
          <w:sz w:val="20"/>
          <w:szCs w:val="20"/>
        </w:rPr>
        <w:t>s</w:t>
      </w:r>
      <w:r w:rsidRPr="007A7F80">
        <w:rPr>
          <w:sz w:val="20"/>
          <w:szCs w:val="20"/>
        </w:rPr>
        <w:t xml:space="preserve"> of rules</w:t>
      </w:r>
      <w:r w:rsidR="000C5CC0">
        <w:rPr>
          <w:sz w:val="20"/>
          <w:szCs w:val="20"/>
        </w:rPr>
        <w:t xml:space="preserve"> which</w:t>
      </w:r>
      <w:r w:rsidR="000C5CC0" w:rsidRPr="007A7F80">
        <w:rPr>
          <w:sz w:val="20"/>
          <w:szCs w:val="20"/>
        </w:rPr>
        <w:t xml:space="preserve"> must remain the reference</w:t>
      </w:r>
      <w:r w:rsidR="000C5CC0">
        <w:rPr>
          <w:sz w:val="20"/>
          <w:szCs w:val="20"/>
        </w:rPr>
        <w:t>s</w:t>
      </w:r>
      <w:r w:rsidR="000558A2">
        <w:rPr>
          <w:sz w:val="20"/>
          <w:szCs w:val="20"/>
        </w:rPr>
        <w:t xml:space="preserve"> (see for outsourcing: </w:t>
      </w:r>
      <w:r w:rsidR="000558A2" w:rsidRPr="007A7F80">
        <w:rPr>
          <w:sz w:val="20"/>
          <w:szCs w:val="20"/>
        </w:rPr>
        <w:t>Solvency 2 regulation</w:t>
      </w:r>
      <w:r w:rsidR="000558A2">
        <w:rPr>
          <w:sz w:val="20"/>
          <w:szCs w:val="20"/>
        </w:rPr>
        <w:t xml:space="preserve"> and for data protection: </w:t>
      </w:r>
      <w:r w:rsidR="000558A2">
        <w:rPr>
          <w:sz w:val="20"/>
          <w:szCs w:val="20"/>
        </w:rPr>
        <w:t>GDPR regulation</w:t>
      </w:r>
      <w:r w:rsidR="000558A2">
        <w:rPr>
          <w:sz w:val="20"/>
          <w:szCs w:val="20"/>
        </w:rPr>
        <w:t>).</w:t>
      </w:r>
    </w:p>
    <w:p w:rsidR="000C5CC0" w:rsidRDefault="000C5CC0" w:rsidP="000C5CC0">
      <w:pPr>
        <w:pStyle w:val="Textedesaisie"/>
        <w:rPr>
          <w:b/>
          <w:sz w:val="20"/>
          <w:szCs w:val="20"/>
          <w:u w:val="single"/>
        </w:rPr>
      </w:pPr>
    </w:p>
    <w:p w:rsidR="00416D4E" w:rsidRPr="00FB4804" w:rsidRDefault="00416D4E" w:rsidP="000C5CC0">
      <w:pPr>
        <w:pStyle w:val="Textedesaisie"/>
        <w:rPr>
          <w:b/>
          <w:sz w:val="20"/>
          <w:szCs w:val="20"/>
          <w:u w:val="single"/>
        </w:rPr>
      </w:pPr>
      <w:r w:rsidRPr="00FB4804">
        <w:rPr>
          <w:b/>
          <w:sz w:val="20"/>
          <w:szCs w:val="20"/>
          <w:u w:val="single"/>
        </w:rPr>
        <w:t>We believe that all relevant text</w:t>
      </w:r>
      <w:r w:rsidR="003279ED">
        <w:rPr>
          <w:b/>
          <w:sz w:val="20"/>
          <w:szCs w:val="20"/>
          <w:u w:val="single"/>
        </w:rPr>
        <w:t>s</w:t>
      </w:r>
      <w:r w:rsidRPr="00FB4804">
        <w:rPr>
          <w:b/>
          <w:sz w:val="20"/>
          <w:szCs w:val="20"/>
          <w:u w:val="single"/>
        </w:rPr>
        <w:t xml:space="preserve"> regarding outsourcing </w:t>
      </w:r>
      <w:r w:rsidR="000C5CC0">
        <w:rPr>
          <w:b/>
          <w:sz w:val="20"/>
          <w:szCs w:val="20"/>
          <w:u w:val="single"/>
        </w:rPr>
        <w:t xml:space="preserve">or data protection </w:t>
      </w:r>
      <w:r w:rsidRPr="00FB4804">
        <w:rPr>
          <w:b/>
          <w:sz w:val="20"/>
          <w:szCs w:val="20"/>
          <w:u w:val="single"/>
        </w:rPr>
        <w:t xml:space="preserve">should refer to Solvency 2 </w:t>
      </w:r>
      <w:r w:rsidR="003279ED">
        <w:rPr>
          <w:b/>
          <w:sz w:val="20"/>
          <w:szCs w:val="20"/>
          <w:u w:val="single"/>
        </w:rPr>
        <w:t xml:space="preserve">or </w:t>
      </w:r>
      <w:r w:rsidR="000C5CC0">
        <w:rPr>
          <w:b/>
          <w:sz w:val="20"/>
          <w:szCs w:val="20"/>
          <w:u w:val="single"/>
        </w:rPr>
        <w:t xml:space="preserve">GDPR </w:t>
      </w:r>
      <w:r w:rsidRPr="00FB4804">
        <w:rPr>
          <w:b/>
          <w:sz w:val="20"/>
          <w:szCs w:val="20"/>
          <w:u w:val="single"/>
        </w:rPr>
        <w:t xml:space="preserve">and </w:t>
      </w:r>
      <w:r w:rsidR="000C5CC0">
        <w:rPr>
          <w:b/>
          <w:sz w:val="20"/>
          <w:szCs w:val="20"/>
          <w:u w:val="single"/>
        </w:rPr>
        <w:t>their</w:t>
      </w:r>
      <w:r w:rsidRPr="00FB4804">
        <w:rPr>
          <w:b/>
          <w:sz w:val="20"/>
          <w:szCs w:val="20"/>
          <w:u w:val="single"/>
        </w:rPr>
        <w:t xml:space="preserve"> terminology.</w:t>
      </w:r>
    </w:p>
    <w:p w:rsidR="00DB7D11" w:rsidRPr="007A7F80" w:rsidRDefault="00DB7D11" w:rsidP="00BB4C49">
      <w:pPr>
        <w:pStyle w:val="Textedesaisie"/>
        <w:rPr>
          <w:sz w:val="20"/>
          <w:szCs w:val="20"/>
        </w:rPr>
      </w:pPr>
    </w:p>
    <w:p w:rsidR="009675D7" w:rsidRPr="007A7F80" w:rsidRDefault="00416D4E" w:rsidP="009675D7">
      <w:pPr>
        <w:pStyle w:val="Textedesaisie"/>
        <w:rPr>
          <w:sz w:val="20"/>
          <w:szCs w:val="20"/>
        </w:rPr>
      </w:pPr>
      <w:bookmarkStart w:id="1" w:name="_Hlk19008359"/>
      <w:r w:rsidRPr="007A7F80">
        <w:rPr>
          <w:sz w:val="20"/>
          <w:szCs w:val="20"/>
        </w:rPr>
        <w:t>Having said that</w:t>
      </w:r>
      <w:r w:rsidR="00DB7D11" w:rsidRPr="007A7F80">
        <w:rPr>
          <w:sz w:val="20"/>
          <w:szCs w:val="20"/>
        </w:rPr>
        <w:t xml:space="preserve">, </w:t>
      </w:r>
      <w:r w:rsidR="00E921D7" w:rsidRPr="007A7F80">
        <w:rPr>
          <w:sz w:val="20"/>
          <w:szCs w:val="20"/>
        </w:rPr>
        <w:t xml:space="preserve">proposing a formal framework regarding the specific issue of cloud outsourcing </w:t>
      </w:r>
      <w:r w:rsidR="004B5E2A" w:rsidRPr="007A7F80">
        <w:rPr>
          <w:sz w:val="20"/>
          <w:szCs w:val="20"/>
        </w:rPr>
        <w:t>could be useful</w:t>
      </w:r>
      <w:r w:rsidR="00E921D7" w:rsidRPr="007A7F80">
        <w:rPr>
          <w:sz w:val="20"/>
          <w:szCs w:val="20"/>
        </w:rPr>
        <w:t>; there is a</w:t>
      </w:r>
      <w:r w:rsidR="007A7F80" w:rsidRPr="007A7F80">
        <w:rPr>
          <w:sz w:val="20"/>
          <w:szCs w:val="20"/>
        </w:rPr>
        <w:t xml:space="preserve">n </w:t>
      </w:r>
      <w:r w:rsidR="00E921D7" w:rsidRPr="007A7F80">
        <w:rPr>
          <w:sz w:val="20"/>
          <w:szCs w:val="20"/>
        </w:rPr>
        <w:t>interest in formulating a specific approach to this technolog</w:t>
      </w:r>
      <w:r w:rsidR="007074EF" w:rsidRPr="007A7F80">
        <w:rPr>
          <w:sz w:val="20"/>
          <w:szCs w:val="20"/>
        </w:rPr>
        <w:t xml:space="preserve">y which is becoming increasingly important for </w:t>
      </w:r>
      <w:r w:rsidR="00FB4804">
        <w:rPr>
          <w:sz w:val="20"/>
          <w:szCs w:val="20"/>
        </w:rPr>
        <w:t>all areas of activities</w:t>
      </w:r>
      <w:r w:rsidR="007074EF" w:rsidRPr="007A7F80">
        <w:rPr>
          <w:sz w:val="20"/>
          <w:szCs w:val="20"/>
        </w:rPr>
        <w:t xml:space="preserve">. </w:t>
      </w:r>
      <w:r w:rsidR="00000C5B" w:rsidRPr="007A7F80">
        <w:rPr>
          <w:sz w:val="20"/>
          <w:szCs w:val="20"/>
        </w:rPr>
        <w:t>Indeed,</w:t>
      </w:r>
      <w:r w:rsidR="00215CA2" w:rsidRPr="007A7F80">
        <w:rPr>
          <w:sz w:val="20"/>
          <w:szCs w:val="20"/>
        </w:rPr>
        <w:t xml:space="preserve"> </w:t>
      </w:r>
      <w:r w:rsidR="00FB4804">
        <w:rPr>
          <w:sz w:val="20"/>
          <w:szCs w:val="20"/>
        </w:rPr>
        <w:t xml:space="preserve">for insurance sector, </w:t>
      </w:r>
      <w:r w:rsidR="00141396" w:rsidRPr="007A7F80">
        <w:rPr>
          <w:sz w:val="20"/>
          <w:szCs w:val="20"/>
        </w:rPr>
        <w:t>g</w:t>
      </w:r>
      <w:r w:rsidR="009675D7" w:rsidRPr="007A7F80">
        <w:rPr>
          <w:sz w:val="20"/>
          <w:szCs w:val="20"/>
        </w:rPr>
        <w:t xml:space="preserve">iving clarification and transparency to market participants </w:t>
      </w:r>
      <w:r w:rsidR="0051247C" w:rsidRPr="007A7F80">
        <w:rPr>
          <w:sz w:val="20"/>
          <w:szCs w:val="20"/>
        </w:rPr>
        <w:t>regarding cloud outsourcing arrangements could be useful.</w:t>
      </w:r>
    </w:p>
    <w:p w:rsidR="007A7F80" w:rsidRPr="007A7F80" w:rsidRDefault="007A7F80" w:rsidP="00BB4C49">
      <w:pPr>
        <w:pStyle w:val="Textedesaisie"/>
        <w:rPr>
          <w:sz w:val="20"/>
          <w:szCs w:val="20"/>
        </w:rPr>
      </w:pPr>
    </w:p>
    <w:p w:rsidR="009A75D3" w:rsidRPr="007A7F80" w:rsidRDefault="00F742EE" w:rsidP="00BB4C49">
      <w:pPr>
        <w:pStyle w:val="Textedesaisie"/>
        <w:rPr>
          <w:sz w:val="20"/>
          <w:szCs w:val="20"/>
        </w:rPr>
      </w:pPr>
      <w:r>
        <w:rPr>
          <w:sz w:val="20"/>
          <w:szCs w:val="20"/>
        </w:rPr>
        <w:t>We</w:t>
      </w:r>
      <w:r w:rsidR="004B5E2A" w:rsidRPr="007A7F80">
        <w:rPr>
          <w:sz w:val="20"/>
          <w:szCs w:val="20"/>
        </w:rPr>
        <w:t xml:space="preserve"> believe that, at this point,</w:t>
      </w:r>
      <w:r w:rsidR="003A0FEE" w:rsidRPr="007A7F80">
        <w:rPr>
          <w:sz w:val="20"/>
          <w:szCs w:val="20"/>
        </w:rPr>
        <w:t xml:space="preserve"> the proposed approach seems difficult to </w:t>
      </w:r>
      <w:r>
        <w:rPr>
          <w:sz w:val="20"/>
          <w:szCs w:val="20"/>
        </w:rPr>
        <w:t>consider</w:t>
      </w:r>
      <w:r w:rsidR="003A0FEE" w:rsidRPr="007A7F80">
        <w:rPr>
          <w:sz w:val="20"/>
          <w:szCs w:val="20"/>
        </w:rPr>
        <w:t xml:space="preserve"> </w:t>
      </w:r>
      <w:proofErr w:type="gramStart"/>
      <w:r w:rsidR="003A0FEE" w:rsidRPr="007A7F80">
        <w:rPr>
          <w:sz w:val="20"/>
          <w:szCs w:val="20"/>
        </w:rPr>
        <w:t>taking into account</w:t>
      </w:r>
      <w:proofErr w:type="gramEnd"/>
      <w:r w:rsidR="009A75D3" w:rsidRPr="007A7F80">
        <w:rPr>
          <w:sz w:val="20"/>
          <w:szCs w:val="20"/>
        </w:rPr>
        <w:t>:</w:t>
      </w:r>
    </w:p>
    <w:p w:rsidR="009A75D3" w:rsidRPr="007A7F80" w:rsidRDefault="003A0FEE" w:rsidP="009A75D3">
      <w:pPr>
        <w:pStyle w:val="Textedesaisie"/>
        <w:numPr>
          <w:ilvl w:val="0"/>
          <w:numId w:val="14"/>
        </w:numPr>
        <w:rPr>
          <w:sz w:val="20"/>
          <w:szCs w:val="20"/>
        </w:rPr>
      </w:pPr>
      <w:r w:rsidRPr="007A7F80">
        <w:rPr>
          <w:sz w:val="20"/>
          <w:szCs w:val="20"/>
        </w:rPr>
        <w:t xml:space="preserve">the lack </w:t>
      </w:r>
      <w:bookmarkStart w:id="2" w:name="_Hlk18940437"/>
      <w:r w:rsidRPr="007A7F80">
        <w:rPr>
          <w:sz w:val="20"/>
          <w:szCs w:val="20"/>
        </w:rPr>
        <w:t>of proportionality</w:t>
      </w:r>
      <w:r w:rsidR="00F742EE">
        <w:rPr>
          <w:sz w:val="20"/>
          <w:szCs w:val="20"/>
        </w:rPr>
        <w:t xml:space="preserve"> and the </w:t>
      </w:r>
      <w:r w:rsidRPr="007A7F80">
        <w:rPr>
          <w:sz w:val="20"/>
          <w:szCs w:val="20"/>
        </w:rPr>
        <w:t>systematic nature of the proposals</w:t>
      </w:r>
      <w:bookmarkEnd w:id="2"/>
      <w:r w:rsidR="00FB4804">
        <w:rPr>
          <w:sz w:val="20"/>
          <w:szCs w:val="20"/>
        </w:rPr>
        <w:t xml:space="preserve">, </w:t>
      </w:r>
      <w:proofErr w:type="spellStart"/>
      <w:r w:rsidR="00FB4804">
        <w:rPr>
          <w:sz w:val="20"/>
          <w:szCs w:val="20"/>
        </w:rPr>
        <w:t>Cf</w:t>
      </w:r>
      <w:proofErr w:type="spellEnd"/>
      <w:r w:rsidR="00FB4804">
        <w:rPr>
          <w:sz w:val="20"/>
          <w:szCs w:val="20"/>
        </w:rPr>
        <w:t>; 1/</w:t>
      </w:r>
    </w:p>
    <w:p w:rsidR="003A0FEE" w:rsidRPr="007A7F80" w:rsidRDefault="009A75D3" w:rsidP="009A75D3">
      <w:pPr>
        <w:pStyle w:val="Textedesaisie"/>
        <w:numPr>
          <w:ilvl w:val="0"/>
          <w:numId w:val="14"/>
        </w:numPr>
        <w:rPr>
          <w:sz w:val="20"/>
          <w:szCs w:val="20"/>
        </w:rPr>
      </w:pPr>
      <w:r w:rsidRPr="007A7F80">
        <w:rPr>
          <w:sz w:val="20"/>
          <w:szCs w:val="20"/>
        </w:rPr>
        <w:t xml:space="preserve">the introduction of </w:t>
      </w:r>
      <w:r w:rsidR="00477024" w:rsidRPr="007A7F80">
        <w:rPr>
          <w:sz w:val="20"/>
          <w:szCs w:val="20"/>
        </w:rPr>
        <w:t xml:space="preserve">a </w:t>
      </w:r>
      <w:r w:rsidRPr="007A7F80">
        <w:rPr>
          <w:sz w:val="20"/>
          <w:szCs w:val="20"/>
        </w:rPr>
        <w:t>new concept</w:t>
      </w:r>
      <w:r w:rsidR="00A36A97" w:rsidRPr="007A7F80">
        <w:rPr>
          <w:sz w:val="20"/>
          <w:szCs w:val="20"/>
        </w:rPr>
        <w:t xml:space="preserve">: </w:t>
      </w:r>
      <w:r w:rsidRPr="007A7F80">
        <w:rPr>
          <w:sz w:val="20"/>
          <w:szCs w:val="20"/>
        </w:rPr>
        <w:t>“</w:t>
      </w:r>
      <w:r w:rsidR="005D31AD" w:rsidRPr="007A7F80">
        <w:rPr>
          <w:sz w:val="20"/>
          <w:szCs w:val="20"/>
        </w:rPr>
        <w:t>material outsourcing</w:t>
      </w:r>
      <w:r w:rsidRPr="007A7F80">
        <w:rPr>
          <w:sz w:val="20"/>
          <w:szCs w:val="20"/>
        </w:rPr>
        <w:t>”</w:t>
      </w:r>
      <w:r w:rsidR="007074EF" w:rsidRPr="007A7F80">
        <w:rPr>
          <w:sz w:val="20"/>
          <w:szCs w:val="20"/>
        </w:rPr>
        <w:t xml:space="preserve"> which do</w:t>
      </w:r>
      <w:r w:rsidR="002346D6" w:rsidRPr="007A7F80">
        <w:rPr>
          <w:sz w:val="20"/>
          <w:szCs w:val="20"/>
        </w:rPr>
        <w:t>es</w:t>
      </w:r>
      <w:r w:rsidR="007074EF" w:rsidRPr="007A7F80">
        <w:rPr>
          <w:sz w:val="20"/>
          <w:szCs w:val="20"/>
        </w:rPr>
        <w:t xml:space="preserve"> not exist into Solvency regulation,</w:t>
      </w:r>
      <w:r w:rsidR="008D56C8">
        <w:rPr>
          <w:sz w:val="20"/>
          <w:szCs w:val="20"/>
        </w:rPr>
        <w:t xml:space="preserve"> Cf. 2/</w:t>
      </w:r>
    </w:p>
    <w:p w:rsidR="009A75D3" w:rsidRPr="007A7F80" w:rsidRDefault="002E161A" w:rsidP="009A75D3">
      <w:pPr>
        <w:pStyle w:val="Textedesaisie"/>
        <w:numPr>
          <w:ilvl w:val="0"/>
          <w:numId w:val="14"/>
        </w:numPr>
        <w:rPr>
          <w:sz w:val="20"/>
          <w:szCs w:val="20"/>
        </w:rPr>
      </w:pPr>
      <w:r>
        <w:rPr>
          <w:sz w:val="20"/>
          <w:szCs w:val="20"/>
        </w:rPr>
        <w:t>excessive</w:t>
      </w:r>
      <w:r w:rsidR="009A75D3" w:rsidRPr="007A7F80">
        <w:rPr>
          <w:sz w:val="20"/>
          <w:szCs w:val="20"/>
        </w:rPr>
        <w:t xml:space="preserve"> burdens for insurance companies</w:t>
      </w:r>
      <w:r>
        <w:rPr>
          <w:sz w:val="20"/>
          <w:szCs w:val="20"/>
        </w:rPr>
        <w:t xml:space="preserve"> </w:t>
      </w:r>
      <w:bookmarkStart w:id="3" w:name="_Hlk20150046"/>
      <w:r>
        <w:rPr>
          <w:sz w:val="20"/>
          <w:szCs w:val="20"/>
        </w:rPr>
        <w:t>regarding contractual requirements, audit and control on cloud service providers</w:t>
      </w:r>
      <w:r w:rsidR="008D56C8">
        <w:rPr>
          <w:sz w:val="20"/>
          <w:szCs w:val="20"/>
        </w:rPr>
        <w:t>, Cf. 3/</w:t>
      </w:r>
    </w:p>
    <w:p w:rsidR="009A75D3" w:rsidRPr="007A7F80" w:rsidRDefault="009A75D3" w:rsidP="009A75D3">
      <w:pPr>
        <w:pStyle w:val="Textedesaisie"/>
        <w:numPr>
          <w:ilvl w:val="0"/>
          <w:numId w:val="14"/>
        </w:numPr>
        <w:rPr>
          <w:sz w:val="20"/>
          <w:szCs w:val="20"/>
        </w:rPr>
      </w:pPr>
      <w:bookmarkStart w:id="4" w:name="_Hlk18941046"/>
      <w:bookmarkEnd w:id="3"/>
      <w:r w:rsidRPr="007A7F80">
        <w:rPr>
          <w:sz w:val="20"/>
          <w:szCs w:val="20"/>
        </w:rPr>
        <w:lastRenderedPageBreak/>
        <w:t>a too short timeline</w:t>
      </w:r>
      <w:r w:rsidR="008D56C8">
        <w:rPr>
          <w:sz w:val="20"/>
          <w:szCs w:val="20"/>
        </w:rPr>
        <w:t>, Cf. 4/</w:t>
      </w:r>
      <w:r w:rsidRPr="007A7F80">
        <w:rPr>
          <w:sz w:val="20"/>
          <w:szCs w:val="20"/>
        </w:rPr>
        <w:t xml:space="preserve"> </w:t>
      </w:r>
    </w:p>
    <w:bookmarkEnd w:id="4"/>
    <w:p w:rsidR="009A75D3" w:rsidRDefault="009A75D3" w:rsidP="009A75D3">
      <w:pPr>
        <w:pStyle w:val="Textedesaisie"/>
        <w:numPr>
          <w:ilvl w:val="0"/>
          <w:numId w:val="14"/>
        </w:numPr>
        <w:rPr>
          <w:sz w:val="20"/>
          <w:szCs w:val="20"/>
        </w:rPr>
      </w:pPr>
      <w:r w:rsidRPr="007A7F80">
        <w:rPr>
          <w:sz w:val="20"/>
          <w:szCs w:val="20"/>
        </w:rPr>
        <w:t xml:space="preserve">insurance group specificities </w:t>
      </w:r>
      <w:r w:rsidR="00A525D5" w:rsidRPr="007A7F80">
        <w:rPr>
          <w:sz w:val="20"/>
          <w:szCs w:val="20"/>
        </w:rPr>
        <w:t xml:space="preserve">which are </w:t>
      </w:r>
      <w:r w:rsidRPr="007A7F80">
        <w:rPr>
          <w:sz w:val="20"/>
          <w:szCs w:val="20"/>
        </w:rPr>
        <w:t xml:space="preserve">not </w:t>
      </w:r>
      <w:proofErr w:type="gramStart"/>
      <w:r w:rsidRPr="007A7F80">
        <w:rPr>
          <w:sz w:val="20"/>
          <w:szCs w:val="20"/>
        </w:rPr>
        <w:t>taken into account</w:t>
      </w:r>
      <w:proofErr w:type="gramEnd"/>
      <w:r w:rsidR="008D56C8">
        <w:rPr>
          <w:sz w:val="20"/>
          <w:szCs w:val="20"/>
        </w:rPr>
        <w:t>, Cf.5/</w:t>
      </w:r>
    </w:p>
    <w:p w:rsidR="00FB4804" w:rsidRDefault="00FB4804" w:rsidP="00F742EE">
      <w:pPr>
        <w:pStyle w:val="Textedesaisie"/>
        <w:rPr>
          <w:sz w:val="20"/>
          <w:szCs w:val="20"/>
        </w:rPr>
      </w:pPr>
    </w:p>
    <w:p w:rsidR="00F742EE" w:rsidRPr="00F742EE" w:rsidRDefault="00F742EE" w:rsidP="00F742EE">
      <w:pPr>
        <w:pStyle w:val="Textedesaisie"/>
        <w:rPr>
          <w:sz w:val="20"/>
          <w:szCs w:val="20"/>
        </w:rPr>
      </w:pPr>
      <w:r>
        <w:rPr>
          <w:sz w:val="20"/>
          <w:szCs w:val="20"/>
        </w:rPr>
        <w:t>Furthermore</w:t>
      </w:r>
      <w:r w:rsidRPr="00F742EE">
        <w:rPr>
          <w:sz w:val="20"/>
          <w:szCs w:val="20"/>
        </w:rPr>
        <w:t>, the FFA does not understand why the proposed guidelines are much more detailed than EBA guidelines.</w:t>
      </w:r>
    </w:p>
    <w:p w:rsidR="00F742EE" w:rsidRPr="00F742EE" w:rsidRDefault="00F742EE" w:rsidP="00F742EE">
      <w:pPr>
        <w:pStyle w:val="Textedesaisie"/>
        <w:rPr>
          <w:sz w:val="20"/>
          <w:szCs w:val="20"/>
        </w:rPr>
      </w:pPr>
    </w:p>
    <w:p w:rsidR="00F742EE" w:rsidRDefault="00F742EE" w:rsidP="00F742EE">
      <w:pPr>
        <w:pStyle w:val="Textedesaisie"/>
        <w:rPr>
          <w:sz w:val="20"/>
          <w:szCs w:val="20"/>
        </w:rPr>
      </w:pPr>
      <w:r w:rsidRPr="00F742EE">
        <w:rPr>
          <w:sz w:val="20"/>
          <w:szCs w:val="20"/>
        </w:rPr>
        <w:t xml:space="preserve">Regarding the form and the general presentation of the document, it is difficult to understand which guidelines are only applicable to material </w:t>
      </w:r>
      <w:bookmarkStart w:id="5" w:name="_Hlk20132319"/>
      <w:r w:rsidRPr="00F742EE">
        <w:rPr>
          <w:sz w:val="20"/>
          <w:szCs w:val="20"/>
        </w:rPr>
        <w:t xml:space="preserve">cloud outsourcing arrangements </w:t>
      </w:r>
      <w:bookmarkEnd w:id="5"/>
      <w:r w:rsidRPr="00F742EE">
        <w:rPr>
          <w:sz w:val="20"/>
          <w:szCs w:val="20"/>
        </w:rPr>
        <w:t xml:space="preserve">and guidelines which are also applicable to </w:t>
      </w:r>
      <w:proofErr w:type="spellStart"/>
      <w:proofErr w:type="gramStart"/>
      <w:r w:rsidRPr="00F742EE">
        <w:rPr>
          <w:sz w:val="20"/>
          <w:szCs w:val="20"/>
        </w:rPr>
        <w:t>non material</w:t>
      </w:r>
      <w:proofErr w:type="spellEnd"/>
      <w:proofErr w:type="gramEnd"/>
      <w:r w:rsidRPr="00F742EE">
        <w:rPr>
          <w:sz w:val="20"/>
          <w:szCs w:val="20"/>
        </w:rPr>
        <w:t xml:space="preserve"> cloud outsourcing arrangements.</w:t>
      </w:r>
    </w:p>
    <w:p w:rsidR="008D56C8" w:rsidRDefault="008D56C8" w:rsidP="00F742EE">
      <w:pPr>
        <w:pStyle w:val="Textedesaisie"/>
        <w:rPr>
          <w:sz w:val="20"/>
          <w:szCs w:val="20"/>
        </w:rPr>
      </w:pPr>
    </w:p>
    <w:p w:rsidR="008D56C8" w:rsidRPr="008D56C8" w:rsidRDefault="008D56C8" w:rsidP="008D56C8">
      <w:pPr>
        <w:pStyle w:val="Textedesaisie"/>
        <w:rPr>
          <w:sz w:val="20"/>
          <w:szCs w:val="20"/>
        </w:rPr>
      </w:pPr>
      <w:r w:rsidRPr="008D56C8">
        <w:rPr>
          <w:sz w:val="20"/>
          <w:szCs w:val="20"/>
        </w:rPr>
        <w:t>In this context, we would like to suggest a couple of key points to make EIOPA’s proposals operational in order to facilitate relationships between insurers and cloud service providers.</w:t>
      </w:r>
    </w:p>
    <w:p w:rsidR="008D56C8" w:rsidRDefault="008D56C8" w:rsidP="00F742EE">
      <w:pPr>
        <w:pStyle w:val="Textedesaisie"/>
        <w:rPr>
          <w:sz w:val="20"/>
          <w:szCs w:val="20"/>
        </w:rPr>
      </w:pPr>
    </w:p>
    <w:p w:rsidR="00F742EE" w:rsidRDefault="00F742EE">
      <w:pPr>
        <w:spacing w:after="200" w:line="276" w:lineRule="auto"/>
        <w:rPr>
          <w:sz w:val="20"/>
          <w:szCs w:val="20"/>
        </w:rPr>
      </w:pPr>
      <w:r>
        <w:rPr>
          <w:sz w:val="20"/>
          <w:szCs w:val="20"/>
        </w:rPr>
        <w:br w:type="page"/>
      </w:r>
    </w:p>
    <w:p w:rsidR="009A75D3" w:rsidRDefault="009A75D3" w:rsidP="009A75D3">
      <w:pPr>
        <w:pStyle w:val="Textedesaisie"/>
        <w:rPr>
          <w:color w:val="312783" w:themeColor="accent1"/>
          <w:sz w:val="20"/>
          <w:szCs w:val="20"/>
        </w:rPr>
      </w:pPr>
      <w:r w:rsidRPr="007A7F80">
        <w:rPr>
          <w:color w:val="312783" w:themeColor="accent1"/>
          <w:sz w:val="20"/>
          <w:szCs w:val="20"/>
        </w:rPr>
        <w:lastRenderedPageBreak/>
        <w:t>1/ Lack of proportionality/systematic nature of the proposals</w:t>
      </w:r>
    </w:p>
    <w:p w:rsidR="000558A2" w:rsidRPr="007A7F80" w:rsidRDefault="000558A2" w:rsidP="009A75D3">
      <w:pPr>
        <w:pStyle w:val="Textedesaisie"/>
        <w:rPr>
          <w:color w:val="312783" w:themeColor="accent1"/>
          <w:sz w:val="20"/>
          <w:szCs w:val="20"/>
        </w:rPr>
      </w:pPr>
    </w:p>
    <w:p w:rsidR="003A0FEE" w:rsidRPr="007A7F80" w:rsidRDefault="00897715" w:rsidP="009A75D3">
      <w:pPr>
        <w:pStyle w:val="Textedesaisie"/>
        <w:rPr>
          <w:sz w:val="20"/>
          <w:szCs w:val="20"/>
        </w:rPr>
      </w:pPr>
      <w:proofErr w:type="gramStart"/>
      <w:r w:rsidRPr="007A7F80">
        <w:rPr>
          <w:sz w:val="20"/>
          <w:szCs w:val="20"/>
        </w:rPr>
        <w:t>First of all</w:t>
      </w:r>
      <w:proofErr w:type="gramEnd"/>
      <w:r w:rsidRPr="007A7F80">
        <w:rPr>
          <w:sz w:val="20"/>
          <w:szCs w:val="20"/>
        </w:rPr>
        <w:t xml:space="preserve">, the FFA </w:t>
      </w:r>
      <w:r w:rsidR="006E4C15" w:rsidRPr="007A7F80">
        <w:rPr>
          <w:sz w:val="20"/>
          <w:szCs w:val="20"/>
        </w:rPr>
        <w:t>would like to recall that, regarding outsourcing arrangements, the insurance sector has to comply with a very detailed and complete set of rules</w:t>
      </w:r>
      <w:r w:rsidR="006E4C15" w:rsidRPr="007A7F80">
        <w:rPr>
          <w:rStyle w:val="Appelnotedebasdep"/>
          <w:sz w:val="20"/>
          <w:szCs w:val="20"/>
        </w:rPr>
        <w:footnoteReference w:id="1"/>
      </w:r>
      <w:r w:rsidR="006E4C15" w:rsidRPr="007A7F80">
        <w:rPr>
          <w:sz w:val="20"/>
          <w:szCs w:val="20"/>
        </w:rPr>
        <w:t>. Furthermore, t</w:t>
      </w:r>
      <w:r w:rsidR="003A0FEE" w:rsidRPr="007A7F80">
        <w:rPr>
          <w:sz w:val="20"/>
          <w:szCs w:val="20"/>
        </w:rPr>
        <w:t xml:space="preserve">he FFA would like to precise that the use of </w:t>
      </w:r>
      <w:r w:rsidR="00C507EB" w:rsidRPr="007A7F80">
        <w:rPr>
          <w:sz w:val="20"/>
          <w:szCs w:val="20"/>
        </w:rPr>
        <w:t xml:space="preserve">cloud outsourcing is steadily increasing and involves in many cases </w:t>
      </w:r>
      <w:proofErr w:type="gramStart"/>
      <w:r w:rsidR="00C507EB" w:rsidRPr="007A7F80">
        <w:rPr>
          <w:sz w:val="20"/>
          <w:szCs w:val="20"/>
        </w:rPr>
        <w:t>non critical</w:t>
      </w:r>
      <w:proofErr w:type="gramEnd"/>
      <w:r w:rsidR="00C507EB" w:rsidRPr="007A7F80">
        <w:rPr>
          <w:sz w:val="20"/>
          <w:szCs w:val="20"/>
        </w:rPr>
        <w:t xml:space="preserve"> or important business activities of the insurance company.</w:t>
      </w:r>
      <w:r w:rsidR="003A0FEE" w:rsidRPr="007A7F80">
        <w:rPr>
          <w:sz w:val="20"/>
          <w:szCs w:val="20"/>
        </w:rPr>
        <w:t xml:space="preserve"> </w:t>
      </w:r>
      <w:r w:rsidR="00E12F44" w:rsidRPr="007A7F80">
        <w:rPr>
          <w:sz w:val="20"/>
          <w:szCs w:val="20"/>
        </w:rPr>
        <w:t xml:space="preserve">Obligations </w:t>
      </w:r>
      <w:r w:rsidR="002A1217" w:rsidRPr="007A7F80">
        <w:rPr>
          <w:sz w:val="20"/>
          <w:szCs w:val="20"/>
        </w:rPr>
        <w:t xml:space="preserve">contained in the guidelines </w:t>
      </w:r>
      <w:r w:rsidR="00E12F44" w:rsidRPr="007A7F80">
        <w:rPr>
          <w:sz w:val="20"/>
          <w:szCs w:val="20"/>
        </w:rPr>
        <w:t>regarding, documentation requirements, pre-outsourcing analysis, due diligence…concern all cloud outsourcing and involve disproportionate means, costs and extended deadlines.</w:t>
      </w:r>
    </w:p>
    <w:p w:rsidR="004F3F0C" w:rsidRPr="007A7F80" w:rsidRDefault="004F3F0C" w:rsidP="009A75D3">
      <w:pPr>
        <w:pStyle w:val="Textedesaisie"/>
        <w:rPr>
          <w:sz w:val="20"/>
          <w:szCs w:val="20"/>
        </w:rPr>
      </w:pPr>
    </w:p>
    <w:p w:rsidR="009A75D3" w:rsidRPr="007A7F80" w:rsidRDefault="009A75D3" w:rsidP="009A75D3">
      <w:pPr>
        <w:pStyle w:val="Textedesaisie"/>
        <w:rPr>
          <w:b/>
          <w:sz w:val="20"/>
          <w:szCs w:val="20"/>
          <w:u w:val="single"/>
        </w:rPr>
      </w:pPr>
      <w:r w:rsidRPr="007A7F80">
        <w:rPr>
          <w:sz w:val="20"/>
          <w:szCs w:val="20"/>
        </w:rPr>
        <w:t>The</w:t>
      </w:r>
      <w:r w:rsidR="005D04B2" w:rsidRPr="007A7F80">
        <w:rPr>
          <w:sz w:val="20"/>
          <w:szCs w:val="20"/>
        </w:rPr>
        <w:t>refore, the</w:t>
      </w:r>
      <w:r w:rsidRPr="007A7F80">
        <w:rPr>
          <w:sz w:val="20"/>
          <w:szCs w:val="20"/>
        </w:rPr>
        <w:t xml:space="preserve"> FFA </w:t>
      </w:r>
      <w:r w:rsidR="004B5E2A" w:rsidRPr="007A7F80">
        <w:rPr>
          <w:sz w:val="20"/>
          <w:szCs w:val="20"/>
        </w:rPr>
        <w:t>believes</w:t>
      </w:r>
      <w:r w:rsidRPr="007A7F80">
        <w:rPr>
          <w:sz w:val="20"/>
          <w:szCs w:val="20"/>
        </w:rPr>
        <w:t xml:space="preserve"> that EIOPA should adopt a proportionated approach regarding cloud outsourcing arrangements which are not directly relevant to critical or important functions or activities (see solvency 2 regulation)</w:t>
      </w:r>
      <w:r w:rsidR="005D31AD" w:rsidRPr="007A7F80">
        <w:rPr>
          <w:sz w:val="20"/>
          <w:szCs w:val="20"/>
        </w:rPr>
        <w:t>;</w:t>
      </w:r>
      <w:r w:rsidR="00056ECE" w:rsidRPr="007A7F80">
        <w:rPr>
          <w:sz w:val="20"/>
          <w:szCs w:val="20"/>
        </w:rPr>
        <w:t xml:space="preserve"> </w:t>
      </w:r>
      <w:r w:rsidR="005D31AD" w:rsidRPr="007A7F80">
        <w:rPr>
          <w:b/>
          <w:sz w:val="20"/>
          <w:szCs w:val="20"/>
          <w:u w:val="single"/>
        </w:rPr>
        <w:t xml:space="preserve">the scope of the guidelines </w:t>
      </w:r>
      <w:r w:rsidRPr="007A7F80">
        <w:rPr>
          <w:b/>
          <w:sz w:val="20"/>
          <w:szCs w:val="20"/>
          <w:u w:val="single"/>
        </w:rPr>
        <w:t>should be</w:t>
      </w:r>
      <w:r w:rsidR="005D31AD" w:rsidRPr="007A7F80">
        <w:rPr>
          <w:b/>
          <w:sz w:val="20"/>
          <w:szCs w:val="20"/>
          <w:u w:val="single"/>
        </w:rPr>
        <w:t xml:space="preserve"> reviewed in order to exclude</w:t>
      </w:r>
      <w:r w:rsidRPr="007A7F80">
        <w:rPr>
          <w:b/>
          <w:sz w:val="20"/>
          <w:szCs w:val="20"/>
          <w:u w:val="single"/>
        </w:rPr>
        <w:t xml:space="preserve"> cloud outsourcing arrangements which are not directly relevant to critical or important functions or activities</w:t>
      </w:r>
      <w:r w:rsidR="00D04E23" w:rsidRPr="007A7F80">
        <w:rPr>
          <w:b/>
          <w:sz w:val="20"/>
          <w:szCs w:val="20"/>
          <w:u w:val="single"/>
        </w:rPr>
        <w:t xml:space="preserve"> of the insurance company.</w:t>
      </w:r>
    </w:p>
    <w:p w:rsidR="005D31AD" w:rsidRPr="007A7F80" w:rsidRDefault="005D31AD" w:rsidP="009A75D3">
      <w:pPr>
        <w:pStyle w:val="Textedesaisie"/>
        <w:rPr>
          <w:sz w:val="20"/>
          <w:szCs w:val="20"/>
        </w:rPr>
      </w:pPr>
    </w:p>
    <w:p w:rsidR="0059637B" w:rsidRPr="007A7F80" w:rsidRDefault="0059637B" w:rsidP="009A75D3">
      <w:pPr>
        <w:pStyle w:val="Textedesaisie"/>
        <w:rPr>
          <w:sz w:val="20"/>
          <w:szCs w:val="20"/>
        </w:rPr>
      </w:pPr>
      <w:r w:rsidRPr="007A7F80">
        <w:rPr>
          <w:sz w:val="20"/>
          <w:szCs w:val="20"/>
        </w:rPr>
        <w:t xml:space="preserve">Furthermore, intra-group outsourcing should be </w:t>
      </w:r>
      <w:proofErr w:type="gramStart"/>
      <w:r w:rsidRPr="007A7F80">
        <w:rPr>
          <w:sz w:val="20"/>
          <w:szCs w:val="20"/>
        </w:rPr>
        <w:t>taken into account</w:t>
      </w:r>
      <w:proofErr w:type="gramEnd"/>
      <w:r w:rsidRPr="007A7F80">
        <w:rPr>
          <w:sz w:val="20"/>
          <w:szCs w:val="20"/>
        </w:rPr>
        <w:t>: there are indeed fewer risks in this type of intra-group transactions and the principle of proportionality should encourage the introduction of lighter requirements (monitoring, pr</w:t>
      </w:r>
      <w:r w:rsidR="00477C2A" w:rsidRPr="007A7F80">
        <w:rPr>
          <w:sz w:val="20"/>
          <w:szCs w:val="20"/>
        </w:rPr>
        <w:t>e</w:t>
      </w:r>
      <w:r w:rsidRPr="007A7F80">
        <w:rPr>
          <w:sz w:val="20"/>
          <w:szCs w:val="20"/>
        </w:rPr>
        <w:t xml:space="preserve">-analysis, audit, exit </w:t>
      </w:r>
      <w:r w:rsidR="00477C2A" w:rsidRPr="007A7F80">
        <w:rPr>
          <w:sz w:val="20"/>
          <w:szCs w:val="20"/>
        </w:rPr>
        <w:t xml:space="preserve">clauses </w:t>
      </w:r>
      <w:r w:rsidRPr="007A7F80">
        <w:rPr>
          <w:sz w:val="20"/>
          <w:szCs w:val="20"/>
        </w:rPr>
        <w:t>and documentation…</w:t>
      </w:r>
      <w:r w:rsidR="00477C2A" w:rsidRPr="007A7F80">
        <w:rPr>
          <w:sz w:val="20"/>
          <w:szCs w:val="20"/>
        </w:rPr>
        <w:t>)</w:t>
      </w:r>
      <w:r w:rsidR="008D56C8">
        <w:rPr>
          <w:sz w:val="20"/>
          <w:szCs w:val="20"/>
        </w:rPr>
        <w:t>.</w:t>
      </w:r>
    </w:p>
    <w:p w:rsidR="0059637B" w:rsidRPr="007A7F80" w:rsidRDefault="0059637B" w:rsidP="009A75D3">
      <w:pPr>
        <w:pStyle w:val="Textedesaisie"/>
        <w:rPr>
          <w:sz w:val="20"/>
          <w:szCs w:val="20"/>
        </w:rPr>
      </w:pPr>
    </w:p>
    <w:p w:rsidR="005D31AD" w:rsidRDefault="005D31AD" w:rsidP="009A75D3">
      <w:pPr>
        <w:pStyle w:val="Textedesaisie"/>
        <w:rPr>
          <w:color w:val="312783" w:themeColor="accent1"/>
          <w:sz w:val="20"/>
          <w:szCs w:val="20"/>
        </w:rPr>
      </w:pPr>
      <w:r w:rsidRPr="007A7F80">
        <w:rPr>
          <w:color w:val="312783" w:themeColor="accent1"/>
          <w:sz w:val="20"/>
          <w:szCs w:val="20"/>
        </w:rPr>
        <w:t xml:space="preserve">2/ Introduction of </w:t>
      </w:r>
      <w:r w:rsidR="00477C2A" w:rsidRPr="007A7F80">
        <w:rPr>
          <w:color w:val="312783" w:themeColor="accent1"/>
          <w:sz w:val="20"/>
          <w:szCs w:val="20"/>
        </w:rPr>
        <w:t xml:space="preserve">a </w:t>
      </w:r>
      <w:r w:rsidRPr="007A7F80">
        <w:rPr>
          <w:color w:val="312783" w:themeColor="accent1"/>
          <w:sz w:val="20"/>
          <w:szCs w:val="20"/>
        </w:rPr>
        <w:t>new concept</w:t>
      </w:r>
      <w:r w:rsidR="00477C2A" w:rsidRPr="007A7F80">
        <w:rPr>
          <w:color w:val="312783" w:themeColor="accent1"/>
          <w:sz w:val="20"/>
          <w:szCs w:val="20"/>
        </w:rPr>
        <w:t xml:space="preserve">: </w:t>
      </w:r>
      <w:r w:rsidRPr="007A7F80">
        <w:rPr>
          <w:color w:val="312783" w:themeColor="accent1"/>
          <w:sz w:val="20"/>
          <w:szCs w:val="20"/>
        </w:rPr>
        <w:t>“material outsourcing”</w:t>
      </w:r>
    </w:p>
    <w:p w:rsidR="000558A2" w:rsidRPr="007A7F80" w:rsidRDefault="000558A2" w:rsidP="009A75D3">
      <w:pPr>
        <w:pStyle w:val="Textedesaisie"/>
        <w:rPr>
          <w:i/>
          <w:sz w:val="20"/>
          <w:szCs w:val="20"/>
        </w:rPr>
      </w:pPr>
    </w:p>
    <w:p w:rsidR="0041320D" w:rsidRPr="007A7F80" w:rsidRDefault="005D31AD" w:rsidP="00BB4C49">
      <w:pPr>
        <w:pStyle w:val="Textedesaisie"/>
        <w:rPr>
          <w:sz w:val="20"/>
          <w:szCs w:val="20"/>
        </w:rPr>
      </w:pPr>
      <w:r w:rsidRPr="007A7F80">
        <w:rPr>
          <w:sz w:val="20"/>
          <w:szCs w:val="20"/>
        </w:rPr>
        <w:t>T</w:t>
      </w:r>
      <w:r w:rsidR="0041320D" w:rsidRPr="007A7F80">
        <w:rPr>
          <w:sz w:val="20"/>
          <w:szCs w:val="20"/>
        </w:rPr>
        <w:t xml:space="preserve">he introduction of </w:t>
      </w:r>
      <w:r w:rsidR="00477C2A" w:rsidRPr="007A7F80">
        <w:rPr>
          <w:sz w:val="20"/>
          <w:szCs w:val="20"/>
        </w:rPr>
        <w:t xml:space="preserve">a </w:t>
      </w:r>
      <w:r w:rsidR="0041320D" w:rsidRPr="007A7F80">
        <w:rPr>
          <w:sz w:val="20"/>
          <w:szCs w:val="20"/>
        </w:rPr>
        <w:t>new, unclear term</w:t>
      </w:r>
      <w:r w:rsidR="00477C2A" w:rsidRPr="007A7F80">
        <w:rPr>
          <w:sz w:val="20"/>
          <w:szCs w:val="20"/>
        </w:rPr>
        <w:t>:</w:t>
      </w:r>
      <w:r w:rsidR="0041320D" w:rsidRPr="007A7F80">
        <w:rPr>
          <w:sz w:val="20"/>
          <w:szCs w:val="20"/>
        </w:rPr>
        <w:t xml:space="preserve"> “material outsourcing” adds a level of complexity and confusion.</w:t>
      </w:r>
    </w:p>
    <w:p w:rsidR="0041320D" w:rsidRPr="007A7F80" w:rsidRDefault="0041320D" w:rsidP="00BB4C49">
      <w:pPr>
        <w:pStyle w:val="Textedesaisie"/>
        <w:rPr>
          <w:sz w:val="20"/>
          <w:szCs w:val="20"/>
        </w:rPr>
      </w:pPr>
    </w:p>
    <w:p w:rsidR="0041320D" w:rsidRPr="007A7F80" w:rsidRDefault="0041320D" w:rsidP="00BB4C49">
      <w:pPr>
        <w:pStyle w:val="Textedesaisie"/>
        <w:rPr>
          <w:sz w:val="20"/>
          <w:szCs w:val="20"/>
        </w:rPr>
      </w:pPr>
      <w:r w:rsidRPr="007A7F80">
        <w:rPr>
          <w:sz w:val="20"/>
          <w:szCs w:val="20"/>
        </w:rPr>
        <w:t xml:space="preserve">Indeed, Solvency II regulation (Directive 2009/138, delegated regulation 2015/35, EIOPA guidelines on system of gouvernance-section11) </w:t>
      </w:r>
      <w:r w:rsidR="004613A2" w:rsidRPr="007A7F80">
        <w:rPr>
          <w:sz w:val="20"/>
          <w:szCs w:val="20"/>
        </w:rPr>
        <w:t xml:space="preserve">only </w:t>
      </w:r>
      <w:r w:rsidRPr="007A7F80">
        <w:rPr>
          <w:sz w:val="20"/>
          <w:szCs w:val="20"/>
        </w:rPr>
        <w:t>refers to “</w:t>
      </w:r>
      <w:bookmarkStart w:id="6" w:name="_Hlk18661340"/>
      <w:r w:rsidRPr="007A7F80">
        <w:rPr>
          <w:sz w:val="20"/>
          <w:szCs w:val="20"/>
        </w:rPr>
        <w:t>critical or important operational functions and activities”.</w:t>
      </w:r>
    </w:p>
    <w:p w:rsidR="004B5E2A" w:rsidRPr="007A7F80" w:rsidRDefault="004B5E2A" w:rsidP="00BB4C49">
      <w:pPr>
        <w:pStyle w:val="Textedesaisie"/>
        <w:rPr>
          <w:sz w:val="20"/>
          <w:szCs w:val="20"/>
        </w:rPr>
      </w:pPr>
    </w:p>
    <w:p w:rsidR="00D65B56" w:rsidRPr="007A7F80" w:rsidRDefault="004B5E2A" w:rsidP="00D65B56">
      <w:pPr>
        <w:pStyle w:val="Textedesaisie"/>
        <w:rPr>
          <w:sz w:val="20"/>
          <w:szCs w:val="20"/>
        </w:rPr>
      </w:pPr>
      <w:r w:rsidRPr="007A7F80">
        <w:rPr>
          <w:sz w:val="20"/>
          <w:szCs w:val="20"/>
        </w:rPr>
        <w:t>EIOPA should use existing terms and concept in order to avoid any confusion or source of misunderstanding.</w:t>
      </w:r>
      <w:r w:rsidR="00477C2A" w:rsidRPr="007A7F80">
        <w:rPr>
          <w:sz w:val="20"/>
          <w:szCs w:val="20"/>
        </w:rPr>
        <w:t xml:space="preserve"> </w:t>
      </w:r>
      <w:r w:rsidR="00D65B56" w:rsidRPr="007A7F80">
        <w:rPr>
          <w:sz w:val="20"/>
          <w:szCs w:val="20"/>
        </w:rPr>
        <w:t>The proposed Guidelines should refer to Solvency 2 regulation and delete the very confusing notion of “materiality”.</w:t>
      </w:r>
    </w:p>
    <w:p w:rsidR="00D65B56" w:rsidRPr="007A7F80" w:rsidRDefault="00D65B56" w:rsidP="00D65B56">
      <w:pPr>
        <w:pStyle w:val="Textedesaisie"/>
        <w:rPr>
          <w:sz w:val="20"/>
          <w:szCs w:val="20"/>
        </w:rPr>
      </w:pPr>
    </w:p>
    <w:bookmarkEnd w:id="6"/>
    <w:p w:rsidR="0051247C" w:rsidRPr="008D56C8" w:rsidRDefault="0051247C" w:rsidP="00BB4C49">
      <w:pPr>
        <w:pStyle w:val="Textedesaisie"/>
        <w:rPr>
          <w:b/>
          <w:sz w:val="20"/>
          <w:szCs w:val="20"/>
          <w:u w:val="single"/>
        </w:rPr>
      </w:pPr>
      <w:r w:rsidRPr="008D56C8">
        <w:rPr>
          <w:b/>
          <w:sz w:val="20"/>
          <w:szCs w:val="20"/>
          <w:u w:val="single"/>
        </w:rPr>
        <w:t>These guidelines should just focus on a “translation”</w:t>
      </w:r>
      <w:r w:rsidR="005474BD" w:rsidRPr="008D56C8">
        <w:rPr>
          <w:rFonts w:ascii="Arial" w:eastAsia="Times New Roman" w:hAnsi="Arial" w:cs="Arial"/>
          <w:b/>
          <w:sz w:val="20"/>
          <w:szCs w:val="20"/>
          <w:u w:val="single"/>
        </w:rPr>
        <w:t xml:space="preserve"> </w:t>
      </w:r>
      <w:r w:rsidR="005474BD" w:rsidRPr="008D56C8">
        <w:rPr>
          <w:b/>
          <w:sz w:val="20"/>
          <w:szCs w:val="20"/>
          <w:u w:val="single"/>
        </w:rPr>
        <w:t xml:space="preserve">or an interpretation </w:t>
      </w:r>
      <w:r w:rsidRPr="008D56C8">
        <w:rPr>
          <w:b/>
          <w:sz w:val="20"/>
          <w:szCs w:val="20"/>
          <w:u w:val="single"/>
        </w:rPr>
        <w:t>of existing requirements (Solvency II Corpus regarding outsourcing) to a limited number of special aspects and issues related to cloud computing</w:t>
      </w:r>
      <w:r w:rsidR="004B5E2A" w:rsidRPr="008D56C8">
        <w:rPr>
          <w:b/>
          <w:sz w:val="20"/>
          <w:szCs w:val="20"/>
          <w:u w:val="single"/>
        </w:rPr>
        <w:t>.</w:t>
      </w:r>
    </w:p>
    <w:p w:rsidR="004B5E2A" w:rsidRPr="007A7F80" w:rsidRDefault="004B5E2A" w:rsidP="00BB4C49">
      <w:pPr>
        <w:pStyle w:val="Textedesaisie"/>
        <w:rPr>
          <w:sz w:val="20"/>
          <w:szCs w:val="20"/>
        </w:rPr>
      </w:pPr>
    </w:p>
    <w:p w:rsidR="004B5E2A" w:rsidRPr="007A7F80" w:rsidRDefault="004B5E2A" w:rsidP="00BB4C49">
      <w:pPr>
        <w:pStyle w:val="Textedesaisie"/>
        <w:rPr>
          <w:sz w:val="20"/>
          <w:szCs w:val="20"/>
        </w:rPr>
      </w:pPr>
      <w:r w:rsidRPr="007A7F80">
        <w:rPr>
          <w:sz w:val="20"/>
          <w:szCs w:val="20"/>
        </w:rPr>
        <w:t>We believe that cloud outsourcing is “only” another form of outsourcing and therefore should follow the same logic as “traditional” outsourcing (as referenced in Solvency 2)</w:t>
      </w:r>
      <w:r w:rsidR="008D56C8">
        <w:rPr>
          <w:sz w:val="20"/>
          <w:szCs w:val="20"/>
        </w:rPr>
        <w:t>.</w:t>
      </w:r>
    </w:p>
    <w:p w:rsidR="00D65B56" w:rsidRPr="007A7F80" w:rsidRDefault="00D65B56" w:rsidP="00D65B56">
      <w:pPr>
        <w:pStyle w:val="Textedesaisie"/>
        <w:rPr>
          <w:sz w:val="20"/>
          <w:szCs w:val="20"/>
        </w:rPr>
      </w:pPr>
    </w:p>
    <w:p w:rsidR="00D65B56" w:rsidRPr="007A7F80" w:rsidRDefault="00D65B56" w:rsidP="00D65B56">
      <w:pPr>
        <w:pStyle w:val="Textedesaisie"/>
        <w:rPr>
          <w:sz w:val="20"/>
          <w:szCs w:val="20"/>
        </w:rPr>
      </w:pPr>
      <w:r w:rsidRPr="007A7F80">
        <w:rPr>
          <w:sz w:val="20"/>
          <w:szCs w:val="20"/>
        </w:rPr>
        <w:t>There is no reason to develop for cloud outsourcing arrangements more stringent rules than for other outsourcing arrangements.</w:t>
      </w:r>
    </w:p>
    <w:p w:rsidR="0041320D" w:rsidRPr="007A7F80" w:rsidRDefault="0041320D" w:rsidP="00BB4C49">
      <w:pPr>
        <w:pStyle w:val="Textedesaisie"/>
        <w:rPr>
          <w:sz w:val="20"/>
          <w:szCs w:val="20"/>
        </w:rPr>
      </w:pPr>
    </w:p>
    <w:p w:rsidR="002E161A" w:rsidRDefault="005D31AD" w:rsidP="005A0BDD">
      <w:pPr>
        <w:pStyle w:val="Textedesaisie"/>
        <w:ind w:left="360"/>
        <w:rPr>
          <w:color w:val="312783" w:themeColor="accent1"/>
          <w:sz w:val="20"/>
          <w:szCs w:val="20"/>
        </w:rPr>
      </w:pPr>
      <w:r w:rsidRPr="007A7F80">
        <w:rPr>
          <w:color w:val="312783" w:themeColor="accent1"/>
          <w:sz w:val="20"/>
          <w:szCs w:val="20"/>
        </w:rPr>
        <w:t xml:space="preserve">3/ </w:t>
      </w:r>
      <w:r w:rsidR="002E161A">
        <w:rPr>
          <w:color w:val="312783" w:themeColor="accent1"/>
          <w:sz w:val="20"/>
          <w:szCs w:val="20"/>
        </w:rPr>
        <w:t xml:space="preserve">Excessive </w:t>
      </w:r>
      <w:r w:rsidRPr="007A7F80">
        <w:rPr>
          <w:color w:val="312783" w:themeColor="accent1"/>
          <w:sz w:val="20"/>
          <w:szCs w:val="20"/>
        </w:rPr>
        <w:t>burdens for insurance companies</w:t>
      </w:r>
      <w:r w:rsidR="002E161A">
        <w:rPr>
          <w:color w:val="312783" w:themeColor="accent1"/>
          <w:sz w:val="20"/>
          <w:szCs w:val="20"/>
        </w:rPr>
        <w:t xml:space="preserve"> </w:t>
      </w:r>
      <w:r w:rsidR="002E161A" w:rsidRPr="002E161A">
        <w:rPr>
          <w:color w:val="312783" w:themeColor="accent1"/>
          <w:sz w:val="20"/>
          <w:szCs w:val="20"/>
        </w:rPr>
        <w:t>regarding contractual requirements, audit and control on cloud service providers</w:t>
      </w:r>
    </w:p>
    <w:p w:rsidR="005A0BDD" w:rsidRPr="002E161A" w:rsidRDefault="005A0BDD" w:rsidP="005A0BDD">
      <w:pPr>
        <w:pStyle w:val="Textedesaisie"/>
        <w:ind w:left="720"/>
        <w:rPr>
          <w:color w:val="312783" w:themeColor="accent1"/>
          <w:sz w:val="20"/>
          <w:szCs w:val="20"/>
        </w:rPr>
      </w:pPr>
    </w:p>
    <w:p w:rsidR="00820751" w:rsidRPr="007A7F80" w:rsidRDefault="005D31AD" w:rsidP="00BB4C49">
      <w:pPr>
        <w:pStyle w:val="Textedesaisie"/>
        <w:rPr>
          <w:sz w:val="20"/>
          <w:szCs w:val="20"/>
        </w:rPr>
      </w:pPr>
      <w:r w:rsidRPr="007A7F80">
        <w:rPr>
          <w:sz w:val="20"/>
          <w:szCs w:val="20"/>
        </w:rPr>
        <w:t xml:space="preserve">It </w:t>
      </w:r>
      <w:r w:rsidR="00E24B0A" w:rsidRPr="007A7F80">
        <w:rPr>
          <w:sz w:val="20"/>
          <w:szCs w:val="20"/>
        </w:rPr>
        <w:t xml:space="preserve">should be stressed that </w:t>
      </w:r>
      <w:proofErr w:type="gramStart"/>
      <w:r w:rsidR="00E24B0A" w:rsidRPr="007A7F80">
        <w:rPr>
          <w:sz w:val="20"/>
          <w:szCs w:val="20"/>
        </w:rPr>
        <w:t>all of</w:t>
      </w:r>
      <w:proofErr w:type="gramEnd"/>
      <w:r w:rsidR="00E24B0A" w:rsidRPr="007A7F80">
        <w:rPr>
          <w:sz w:val="20"/>
          <w:szCs w:val="20"/>
        </w:rPr>
        <w:t xml:space="preserve"> the burden of complying </w:t>
      </w:r>
      <w:r w:rsidR="00FB4804">
        <w:rPr>
          <w:sz w:val="20"/>
          <w:szCs w:val="20"/>
        </w:rPr>
        <w:t xml:space="preserve">with </w:t>
      </w:r>
      <w:r w:rsidR="00E24B0A" w:rsidRPr="007A7F80">
        <w:rPr>
          <w:sz w:val="20"/>
          <w:szCs w:val="20"/>
        </w:rPr>
        <w:t xml:space="preserve">these guidelines is borne by the insurer (contractual requirements, audit, monitoring and oversight). The FFA would like to </w:t>
      </w:r>
      <w:r w:rsidR="004613A2" w:rsidRPr="007A7F80">
        <w:rPr>
          <w:sz w:val="20"/>
          <w:szCs w:val="20"/>
        </w:rPr>
        <w:t xml:space="preserve">stress </w:t>
      </w:r>
      <w:r w:rsidR="00F67316" w:rsidRPr="007A7F80">
        <w:rPr>
          <w:sz w:val="20"/>
          <w:szCs w:val="20"/>
        </w:rPr>
        <w:t xml:space="preserve">that, in the context of its contractual relations with giant cloud providers it will be </w:t>
      </w:r>
      <w:r w:rsidR="00924A29" w:rsidRPr="007A7F80">
        <w:rPr>
          <w:sz w:val="20"/>
          <w:szCs w:val="20"/>
        </w:rPr>
        <w:t>very difficult</w:t>
      </w:r>
      <w:r w:rsidR="00F67316" w:rsidRPr="007A7F80">
        <w:rPr>
          <w:sz w:val="20"/>
          <w:szCs w:val="20"/>
        </w:rPr>
        <w:t xml:space="preserve"> to impose contractual rules or audit rights. </w:t>
      </w:r>
    </w:p>
    <w:p w:rsidR="00820751" w:rsidRPr="007A7F80" w:rsidRDefault="00820751" w:rsidP="00BB4C49">
      <w:pPr>
        <w:pStyle w:val="Textedesaisie"/>
        <w:rPr>
          <w:sz w:val="20"/>
          <w:szCs w:val="20"/>
        </w:rPr>
      </w:pPr>
    </w:p>
    <w:p w:rsidR="00820751" w:rsidRPr="007A7F80" w:rsidRDefault="00F67316" w:rsidP="00BB4C49">
      <w:pPr>
        <w:pStyle w:val="Textedesaisie"/>
        <w:rPr>
          <w:sz w:val="20"/>
          <w:szCs w:val="20"/>
        </w:rPr>
      </w:pPr>
      <w:r w:rsidRPr="007A7F80">
        <w:rPr>
          <w:sz w:val="20"/>
          <w:szCs w:val="20"/>
        </w:rPr>
        <w:t>Therefore</w:t>
      </w:r>
      <w:r w:rsidR="00820751" w:rsidRPr="007A7F80">
        <w:rPr>
          <w:sz w:val="20"/>
          <w:szCs w:val="20"/>
        </w:rPr>
        <w:t>:</w:t>
      </w:r>
    </w:p>
    <w:p w:rsidR="00E12F44" w:rsidRPr="008D56C8" w:rsidRDefault="00F67316" w:rsidP="00820751">
      <w:pPr>
        <w:pStyle w:val="Textedesaisie"/>
        <w:numPr>
          <w:ilvl w:val="0"/>
          <w:numId w:val="11"/>
        </w:numPr>
        <w:rPr>
          <w:b/>
          <w:sz w:val="20"/>
          <w:szCs w:val="20"/>
          <w:u w:val="single"/>
        </w:rPr>
      </w:pPr>
      <w:r w:rsidRPr="008D56C8">
        <w:rPr>
          <w:b/>
          <w:sz w:val="20"/>
          <w:szCs w:val="20"/>
          <w:u w:val="single"/>
        </w:rPr>
        <w:t xml:space="preserve">the FFA </w:t>
      </w:r>
      <w:r w:rsidR="00E24B0A" w:rsidRPr="008D56C8">
        <w:rPr>
          <w:b/>
          <w:sz w:val="20"/>
          <w:szCs w:val="20"/>
          <w:u w:val="single"/>
        </w:rPr>
        <w:t>strongly encourage</w:t>
      </w:r>
      <w:r w:rsidRPr="008D56C8">
        <w:rPr>
          <w:b/>
          <w:sz w:val="20"/>
          <w:szCs w:val="20"/>
          <w:u w:val="single"/>
        </w:rPr>
        <w:t>s</w:t>
      </w:r>
      <w:r w:rsidR="00E24B0A" w:rsidRPr="008D56C8">
        <w:rPr>
          <w:b/>
          <w:sz w:val="20"/>
          <w:szCs w:val="20"/>
          <w:u w:val="single"/>
        </w:rPr>
        <w:t xml:space="preserve"> EIOPA</w:t>
      </w:r>
      <w:r w:rsidRPr="008D56C8">
        <w:rPr>
          <w:b/>
          <w:sz w:val="20"/>
          <w:szCs w:val="20"/>
          <w:u w:val="single"/>
        </w:rPr>
        <w:t xml:space="preserve"> to engage with cloud service providers to ensure their willingness to adhere to all these very heavy requirements.</w:t>
      </w:r>
    </w:p>
    <w:p w:rsidR="00F67316" w:rsidRPr="007A7F80" w:rsidRDefault="00F67316" w:rsidP="00BB4C49">
      <w:pPr>
        <w:pStyle w:val="Textedesaisie"/>
        <w:rPr>
          <w:sz w:val="20"/>
          <w:szCs w:val="20"/>
        </w:rPr>
      </w:pPr>
    </w:p>
    <w:p w:rsidR="00F67316" w:rsidRPr="008D56C8" w:rsidRDefault="00F67316" w:rsidP="00820751">
      <w:pPr>
        <w:pStyle w:val="Textedesaisie"/>
        <w:numPr>
          <w:ilvl w:val="0"/>
          <w:numId w:val="11"/>
        </w:numPr>
        <w:rPr>
          <w:b/>
          <w:sz w:val="20"/>
          <w:szCs w:val="20"/>
          <w:u w:val="single"/>
        </w:rPr>
      </w:pPr>
      <w:bookmarkStart w:id="7" w:name="_Hlk18918702"/>
      <w:r w:rsidRPr="008D56C8">
        <w:rPr>
          <w:b/>
          <w:sz w:val="20"/>
          <w:szCs w:val="20"/>
          <w:u w:val="single"/>
        </w:rPr>
        <w:t xml:space="preserve">Regarding contractual relationships with cloud service providers, a solution could be to elaborate, at EU level, model clauses complying </w:t>
      </w:r>
      <w:r w:rsidR="0051247C" w:rsidRPr="008D56C8">
        <w:rPr>
          <w:b/>
          <w:sz w:val="20"/>
          <w:szCs w:val="20"/>
          <w:u w:val="single"/>
        </w:rPr>
        <w:t xml:space="preserve">with </w:t>
      </w:r>
      <w:r w:rsidRPr="008D56C8">
        <w:rPr>
          <w:b/>
          <w:sz w:val="20"/>
          <w:szCs w:val="20"/>
          <w:u w:val="single"/>
        </w:rPr>
        <w:t>competitions rules.</w:t>
      </w:r>
    </w:p>
    <w:bookmarkEnd w:id="7"/>
    <w:p w:rsidR="00F67316" w:rsidRPr="007A7F80" w:rsidRDefault="00F67316" w:rsidP="00F67316">
      <w:pPr>
        <w:pStyle w:val="Textedesaisie"/>
        <w:rPr>
          <w:sz w:val="20"/>
          <w:szCs w:val="20"/>
        </w:rPr>
      </w:pPr>
    </w:p>
    <w:p w:rsidR="0072065C" w:rsidRPr="007A7F80" w:rsidRDefault="00F67316" w:rsidP="00DB7D11">
      <w:pPr>
        <w:pStyle w:val="Textedesaisie"/>
        <w:numPr>
          <w:ilvl w:val="0"/>
          <w:numId w:val="11"/>
        </w:numPr>
        <w:rPr>
          <w:sz w:val="20"/>
          <w:szCs w:val="20"/>
        </w:rPr>
      </w:pPr>
      <w:r w:rsidRPr="007A7F80">
        <w:rPr>
          <w:sz w:val="20"/>
          <w:szCs w:val="20"/>
        </w:rPr>
        <w:t xml:space="preserve">Regarding </w:t>
      </w:r>
      <w:r w:rsidR="00820751" w:rsidRPr="007A7F80">
        <w:rPr>
          <w:sz w:val="20"/>
          <w:szCs w:val="20"/>
        </w:rPr>
        <w:t>multiple and disproportionate controls on cloud service providers</w:t>
      </w:r>
      <w:r w:rsidR="00820751" w:rsidRPr="005775FB">
        <w:rPr>
          <w:b/>
          <w:sz w:val="20"/>
          <w:szCs w:val="20"/>
          <w:u w:val="single"/>
        </w:rPr>
        <w:t xml:space="preserve">, </w:t>
      </w:r>
      <w:bookmarkStart w:id="8" w:name="_Hlk18935022"/>
      <w:r w:rsidR="00820751" w:rsidRPr="005775FB">
        <w:rPr>
          <w:b/>
          <w:sz w:val="20"/>
          <w:szCs w:val="20"/>
          <w:u w:val="single"/>
        </w:rPr>
        <w:t>it could be appropriate to elaborate an ISO certificate for these providers,</w:t>
      </w:r>
      <w:r w:rsidR="00820751" w:rsidRPr="007A7F80">
        <w:rPr>
          <w:sz w:val="20"/>
          <w:szCs w:val="20"/>
        </w:rPr>
        <w:t xml:space="preserve"> guaranteeing the </w:t>
      </w:r>
      <w:r w:rsidR="00D65B56" w:rsidRPr="007A7F80">
        <w:rPr>
          <w:sz w:val="20"/>
          <w:szCs w:val="20"/>
        </w:rPr>
        <w:t>continued compliance</w:t>
      </w:r>
      <w:r w:rsidR="00820751" w:rsidRPr="007A7F80">
        <w:rPr>
          <w:sz w:val="20"/>
          <w:szCs w:val="20"/>
        </w:rPr>
        <w:t xml:space="preserve"> </w:t>
      </w:r>
      <w:r w:rsidR="00D65B56" w:rsidRPr="007A7F80">
        <w:rPr>
          <w:sz w:val="20"/>
          <w:szCs w:val="20"/>
        </w:rPr>
        <w:t>with</w:t>
      </w:r>
      <w:r w:rsidR="00820751" w:rsidRPr="007A7F80">
        <w:rPr>
          <w:sz w:val="20"/>
          <w:szCs w:val="20"/>
        </w:rPr>
        <w:t xml:space="preserve"> high level safety requirements with which the insurers and other interested parties can trust.</w:t>
      </w:r>
    </w:p>
    <w:p w:rsidR="00924A29" w:rsidRPr="007A7F80" w:rsidRDefault="00924A29" w:rsidP="00924A29">
      <w:pPr>
        <w:pStyle w:val="Paragraphedeliste"/>
        <w:rPr>
          <w:sz w:val="20"/>
          <w:szCs w:val="20"/>
        </w:rPr>
      </w:pPr>
    </w:p>
    <w:p w:rsidR="00924A29" w:rsidRPr="007A7F80" w:rsidRDefault="00924A29" w:rsidP="00DB7D11">
      <w:pPr>
        <w:pStyle w:val="Textedesaisie"/>
        <w:numPr>
          <w:ilvl w:val="0"/>
          <w:numId w:val="11"/>
        </w:numPr>
        <w:rPr>
          <w:sz w:val="20"/>
          <w:szCs w:val="20"/>
        </w:rPr>
      </w:pPr>
      <w:r w:rsidRPr="007A7F80">
        <w:rPr>
          <w:sz w:val="20"/>
          <w:szCs w:val="20"/>
        </w:rPr>
        <w:t xml:space="preserve">If cloud providers </w:t>
      </w:r>
      <w:r w:rsidR="00F742EE">
        <w:rPr>
          <w:sz w:val="20"/>
          <w:szCs w:val="20"/>
        </w:rPr>
        <w:t>where</w:t>
      </w:r>
      <w:r w:rsidRPr="007A7F80">
        <w:rPr>
          <w:sz w:val="20"/>
          <w:szCs w:val="20"/>
        </w:rPr>
        <w:t xml:space="preserve"> such a critical infrastructure, supervision of these actors could be as well envisaged.</w:t>
      </w:r>
    </w:p>
    <w:bookmarkEnd w:id="8"/>
    <w:p w:rsidR="00587EEF" w:rsidRPr="007A7F80" w:rsidRDefault="00587EEF" w:rsidP="005D31AD">
      <w:pPr>
        <w:rPr>
          <w:sz w:val="20"/>
          <w:szCs w:val="20"/>
        </w:rPr>
      </w:pPr>
    </w:p>
    <w:p w:rsidR="005D31AD" w:rsidRPr="007A7F80" w:rsidRDefault="005D31AD" w:rsidP="005D31AD">
      <w:pPr>
        <w:rPr>
          <w:color w:val="312783" w:themeColor="accent1"/>
          <w:sz w:val="20"/>
          <w:szCs w:val="20"/>
        </w:rPr>
      </w:pPr>
      <w:r w:rsidRPr="007A7F80">
        <w:rPr>
          <w:color w:val="312783" w:themeColor="accent1"/>
          <w:sz w:val="20"/>
          <w:szCs w:val="20"/>
        </w:rPr>
        <w:t xml:space="preserve">4/ A too short timeline </w:t>
      </w:r>
    </w:p>
    <w:p w:rsidR="005D31AD" w:rsidRPr="007A7F80" w:rsidRDefault="005D31AD" w:rsidP="005D31AD">
      <w:pPr>
        <w:rPr>
          <w:sz w:val="20"/>
          <w:szCs w:val="20"/>
        </w:rPr>
      </w:pPr>
    </w:p>
    <w:p w:rsidR="00924A29" w:rsidRPr="007A7F80" w:rsidRDefault="00924A29" w:rsidP="005D31AD">
      <w:pPr>
        <w:rPr>
          <w:sz w:val="20"/>
          <w:szCs w:val="20"/>
        </w:rPr>
      </w:pPr>
      <w:r w:rsidRPr="007A7F80">
        <w:rPr>
          <w:sz w:val="20"/>
          <w:szCs w:val="20"/>
        </w:rPr>
        <w:t>Insurance companies have complex structures, any change in their systems/process is usually very time consuming.</w:t>
      </w:r>
    </w:p>
    <w:p w:rsidR="00924A29" w:rsidRPr="007A7F80" w:rsidRDefault="00924A29" w:rsidP="005D31AD">
      <w:pPr>
        <w:rPr>
          <w:sz w:val="20"/>
          <w:szCs w:val="20"/>
        </w:rPr>
      </w:pPr>
    </w:p>
    <w:p w:rsidR="00757E07" w:rsidRPr="007A7F80" w:rsidRDefault="00924A29" w:rsidP="00587EEF">
      <w:pPr>
        <w:pStyle w:val="Textedesaisie"/>
        <w:rPr>
          <w:sz w:val="20"/>
          <w:szCs w:val="20"/>
        </w:rPr>
      </w:pPr>
      <w:bookmarkStart w:id="9" w:name="_Hlk19024322"/>
      <w:r w:rsidRPr="007A7F80">
        <w:rPr>
          <w:sz w:val="20"/>
          <w:szCs w:val="20"/>
        </w:rPr>
        <w:t>That is why r</w:t>
      </w:r>
      <w:r w:rsidR="00587EEF" w:rsidRPr="007A7F80">
        <w:rPr>
          <w:sz w:val="20"/>
          <w:szCs w:val="20"/>
        </w:rPr>
        <w:t>egarding</w:t>
      </w:r>
      <w:r w:rsidR="005D31AD" w:rsidRPr="007A7F80">
        <w:rPr>
          <w:sz w:val="20"/>
          <w:szCs w:val="20"/>
        </w:rPr>
        <w:t xml:space="preserve"> proposed</w:t>
      </w:r>
      <w:r w:rsidR="00587EEF" w:rsidRPr="007A7F80">
        <w:rPr>
          <w:sz w:val="20"/>
          <w:szCs w:val="20"/>
        </w:rPr>
        <w:t xml:space="preserve"> timeline to implement the guidelines, an additional time period to comply with the requirements should be granted, the proposed dates are too short</w:t>
      </w:r>
      <w:r w:rsidR="00D971D3">
        <w:rPr>
          <w:sz w:val="20"/>
          <w:szCs w:val="20"/>
        </w:rPr>
        <w:t>,</w:t>
      </w:r>
      <w:r w:rsidR="00587EEF" w:rsidRPr="007A7F80">
        <w:rPr>
          <w:sz w:val="20"/>
          <w:szCs w:val="20"/>
        </w:rPr>
        <w:t xml:space="preserve"> even if the FFA welcomes </w:t>
      </w:r>
      <w:r w:rsidR="007074E1" w:rsidRPr="007A7F80">
        <w:rPr>
          <w:sz w:val="20"/>
          <w:szCs w:val="20"/>
        </w:rPr>
        <w:t xml:space="preserve">the flexibility proposed if the review of cloud outsourcing arrangements is not finalized by 01 July 2022. </w:t>
      </w:r>
    </w:p>
    <w:p w:rsidR="00757E07" w:rsidRPr="007A7F80" w:rsidRDefault="00757E07" w:rsidP="00587EEF">
      <w:pPr>
        <w:pStyle w:val="Textedesaisie"/>
        <w:rPr>
          <w:sz w:val="20"/>
          <w:szCs w:val="20"/>
        </w:rPr>
      </w:pPr>
    </w:p>
    <w:p w:rsidR="00757E07" w:rsidRPr="007A7F80" w:rsidRDefault="00757E07" w:rsidP="00587EEF">
      <w:pPr>
        <w:pStyle w:val="Textedesaisie"/>
        <w:rPr>
          <w:sz w:val="20"/>
          <w:szCs w:val="20"/>
        </w:rPr>
      </w:pPr>
      <w:r w:rsidRPr="007A7F80">
        <w:rPr>
          <w:sz w:val="20"/>
          <w:szCs w:val="20"/>
        </w:rPr>
        <w:t>Indeed, t</w:t>
      </w:r>
      <w:r w:rsidR="007074E1" w:rsidRPr="007A7F80">
        <w:rPr>
          <w:sz w:val="20"/>
          <w:szCs w:val="20"/>
        </w:rPr>
        <w:t xml:space="preserve">hese guidelines will involve </w:t>
      </w:r>
      <w:r w:rsidR="00924A29" w:rsidRPr="007A7F80">
        <w:rPr>
          <w:sz w:val="20"/>
          <w:szCs w:val="20"/>
        </w:rPr>
        <w:t>important</w:t>
      </w:r>
      <w:r w:rsidR="007074E1" w:rsidRPr="007A7F80">
        <w:rPr>
          <w:sz w:val="20"/>
          <w:szCs w:val="20"/>
        </w:rPr>
        <w:t xml:space="preserve"> contractual renegotiations, therefore </w:t>
      </w:r>
      <w:r w:rsidR="00556DCE" w:rsidRPr="007A7F80">
        <w:rPr>
          <w:sz w:val="20"/>
          <w:szCs w:val="20"/>
        </w:rPr>
        <w:t xml:space="preserve">the deadline of 1 July </w:t>
      </w:r>
      <w:r w:rsidR="00556DCE" w:rsidRPr="007A7F80">
        <w:rPr>
          <w:sz w:val="20"/>
          <w:szCs w:val="20"/>
          <w:u w:val="single"/>
        </w:rPr>
        <w:t>2020</w:t>
      </w:r>
      <w:r w:rsidR="00556DCE" w:rsidRPr="007A7F80">
        <w:rPr>
          <w:sz w:val="20"/>
          <w:szCs w:val="20"/>
        </w:rPr>
        <w:t xml:space="preserve"> regarding new arrangements</w:t>
      </w:r>
      <w:r w:rsidR="006B77AF" w:rsidRPr="007A7F80">
        <w:rPr>
          <w:sz w:val="20"/>
          <w:szCs w:val="20"/>
        </w:rPr>
        <w:t xml:space="preserve">, </w:t>
      </w:r>
      <w:r w:rsidR="006B77AF" w:rsidRPr="007A7F80">
        <w:rPr>
          <w:b/>
          <w:sz w:val="20"/>
          <w:szCs w:val="20"/>
        </w:rPr>
        <w:t>which are already under negotiat</w:t>
      </w:r>
      <w:r w:rsidR="00D028B7" w:rsidRPr="007A7F80">
        <w:rPr>
          <w:b/>
          <w:sz w:val="20"/>
          <w:szCs w:val="20"/>
        </w:rPr>
        <w:t>ion</w:t>
      </w:r>
      <w:r w:rsidR="006B77AF" w:rsidRPr="007A7F80">
        <w:rPr>
          <w:sz w:val="20"/>
          <w:szCs w:val="20"/>
        </w:rPr>
        <w:t>,</w:t>
      </w:r>
      <w:r w:rsidR="00556DCE" w:rsidRPr="007A7F80">
        <w:rPr>
          <w:sz w:val="20"/>
          <w:szCs w:val="20"/>
        </w:rPr>
        <w:t xml:space="preserve"> </w:t>
      </w:r>
      <w:r w:rsidRPr="007A7F80">
        <w:rPr>
          <w:sz w:val="20"/>
          <w:szCs w:val="20"/>
        </w:rPr>
        <w:t>is</w:t>
      </w:r>
      <w:r w:rsidR="00556DCE" w:rsidRPr="007A7F80">
        <w:rPr>
          <w:sz w:val="20"/>
          <w:szCs w:val="20"/>
        </w:rPr>
        <w:t xml:space="preserve"> too short for the correct application of final guidelines published in </w:t>
      </w:r>
      <w:r w:rsidR="00BB662D">
        <w:rPr>
          <w:sz w:val="20"/>
          <w:szCs w:val="20"/>
        </w:rPr>
        <w:t>J</w:t>
      </w:r>
      <w:r w:rsidR="007D3559">
        <w:rPr>
          <w:sz w:val="20"/>
          <w:szCs w:val="20"/>
        </w:rPr>
        <w:t>anuary</w:t>
      </w:r>
      <w:r w:rsidR="00556DCE" w:rsidRPr="007A7F80">
        <w:rPr>
          <w:sz w:val="20"/>
          <w:szCs w:val="20"/>
        </w:rPr>
        <w:t xml:space="preserve"> 20</w:t>
      </w:r>
      <w:r w:rsidR="007D3559">
        <w:rPr>
          <w:sz w:val="20"/>
          <w:szCs w:val="20"/>
        </w:rPr>
        <w:t>20</w:t>
      </w:r>
      <w:r w:rsidR="00A71921" w:rsidRPr="007A7F80">
        <w:rPr>
          <w:sz w:val="20"/>
          <w:szCs w:val="20"/>
        </w:rPr>
        <w:t>.</w:t>
      </w:r>
    </w:p>
    <w:p w:rsidR="00A71921" w:rsidRPr="007A7F80" w:rsidRDefault="00A71921" w:rsidP="00587EEF">
      <w:pPr>
        <w:pStyle w:val="Textedesaisie"/>
        <w:rPr>
          <w:i/>
          <w:sz w:val="20"/>
          <w:szCs w:val="20"/>
        </w:rPr>
      </w:pPr>
    </w:p>
    <w:p w:rsidR="00587EEF" w:rsidRPr="007A7F80" w:rsidRDefault="00757E07" w:rsidP="00587EEF">
      <w:pPr>
        <w:pStyle w:val="Textedesaisie"/>
        <w:rPr>
          <w:sz w:val="20"/>
          <w:szCs w:val="20"/>
        </w:rPr>
      </w:pPr>
      <w:r w:rsidRPr="007A7F80">
        <w:rPr>
          <w:sz w:val="20"/>
          <w:szCs w:val="20"/>
        </w:rPr>
        <w:t xml:space="preserve">Regarding existing cloud outsourcing arrangements, </w:t>
      </w:r>
      <w:r w:rsidR="00A71921" w:rsidRPr="007A7F80">
        <w:rPr>
          <w:sz w:val="20"/>
          <w:szCs w:val="20"/>
        </w:rPr>
        <w:t>an additional period should be granted</w:t>
      </w:r>
      <w:r w:rsidR="007074E1" w:rsidRPr="007A7F80">
        <w:rPr>
          <w:sz w:val="20"/>
          <w:szCs w:val="20"/>
        </w:rPr>
        <w:t xml:space="preserve"> to ensure that could outsourcing arrangements are compliant with the guidelines.</w:t>
      </w:r>
    </w:p>
    <w:p w:rsidR="00587D58" w:rsidRPr="007A7F80" w:rsidRDefault="00587D58" w:rsidP="00587EEF">
      <w:pPr>
        <w:pStyle w:val="Textedesaisie"/>
        <w:rPr>
          <w:sz w:val="20"/>
          <w:szCs w:val="20"/>
        </w:rPr>
      </w:pPr>
    </w:p>
    <w:bookmarkEnd w:id="9"/>
    <w:p w:rsidR="00A525D5" w:rsidRPr="007A7F80" w:rsidRDefault="00A525D5" w:rsidP="00A525D5">
      <w:pPr>
        <w:pStyle w:val="Textedesaisie"/>
        <w:rPr>
          <w:sz w:val="20"/>
          <w:szCs w:val="20"/>
        </w:rPr>
      </w:pPr>
      <w:r w:rsidRPr="007A7F80">
        <w:rPr>
          <w:color w:val="312783" w:themeColor="accent1"/>
          <w:sz w:val="20"/>
          <w:szCs w:val="20"/>
        </w:rPr>
        <w:t xml:space="preserve">5/ Insurance group specificities which are not </w:t>
      </w:r>
      <w:proofErr w:type="gramStart"/>
      <w:r w:rsidRPr="007A7F80">
        <w:rPr>
          <w:color w:val="312783" w:themeColor="accent1"/>
          <w:sz w:val="20"/>
          <w:szCs w:val="20"/>
        </w:rPr>
        <w:t>taken into account</w:t>
      </w:r>
      <w:proofErr w:type="gramEnd"/>
    </w:p>
    <w:p w:rsidR="00A525D5" w:rsidRPr="007A7F80" w:rsidRDefault="00A525D5" w:rsidP="00587EEF">
      <w:pPr>
        <w:pStyle w:val="Textedesaisie"/>
        <w:rPr>
          <w:sz w:val="20"/>
          <w:szCs w:val="20"/>
        </w:rPr>
      </w:pPr>
    </w:p>
    <w:p w:rsidR="00924A29" w:rsidRPr="007A7F80" w:rsidRDefault="00924A29" w:rsidP="00587EEF">
      <w:pPr>
        <w:pStyle w:val="Textedesaisie"/>
        <w:rPr>
          <w:sz w:val="20"/>
          <w:szCs w:val="20"/>
        </w:rPr>
      </w:pPr>
      <w:r w:rsidRPr="007A7F80">
        <w:rPr>
          <w:sz w:val="20"/>
          <w:szCs w:val="20"/>
        </w:rPr>
        <w:t>The French market have a significant number of big actors (8 International Active Groups in the ICS framework); most of them have a holding company acting o</w:t>
      </w:r>
      <w:r w:rsidR="00E8614A" w:rsidRPr="007A7F80">
        <w:rPr>
          <w:sz w:val="20"/>
          <w:szCs w:val="20"/>
        </w:rPr>
        <w:t>n behalf of its subsidiary.</w:t>
      </w:r>
    </w:p>
    <w:p w:rsidR="00924A29" w:rsidRPr="007A7F80" w:rsidRDefault="00924A29" w:rsidP="00587EEF">
      <w:pPr>
        <w:pStyle w:val="Textedesaisie"/>
        <w:rPr>
          <w:sz w:val="20"/>
          <w:szCs w:val="20"/>
        </w:rPr>
      </w:pPr>
    </w:p>
    <w:p w:rsidR="00587D58" w:rsidRPr="007A7F80" w:rsidRDefault="00141396" w:rsidP="00587EEF">
      <w:pPr>
        <w:pStyle w:val="Textedesaisie"/>
        <w:rPr>
          <w:sz w:val="20"/>
          <w:szCs w:val="20"/>
        </w:rPr>
      </w:pPr>
      <w:r w:rsidRPr="007A7F80">
        <w:rPr>
          <w:sz w:val="20"/>
          <w:szCs w:val="20"/>
        </w:rPr>
        <w:t>EIOPA does not take adequate account insurance groups with a holding acting on behalf of its subsidiaries</w:t>
      </w:r>
      <w:r w:rsidR="00C51493" w:rsidRPr="007A7F80">
        <w:rPr>
          <w:sz w:val="20"/>
          <w:szCs w:val="20"/>
        </w:rPr>
        <w:t xml:space="preserve">. </w:t>
      </w:r>
      <w:r w:rsidR="007074EF" w:rsidRPr="007A7F80">
        <w:rPr>
          <w:sz w:val="20"/>
          <w:szCs w:val="20"/>
        </w:rPr>
        <w:t>This</w:t>
      </w:r>
      <w:r w:rsidRPr="007A7F80">
        <w:rPr>
          <w:sz w:val="20"/>
          <w:szCs w:val="20"/>
        </w:rPr>
        <w:t xml:space="preserve"> </w:t>
      </w:r>
      <w:proofErr w:type="gramStart"/>
      <w:r w:rsidRPr="007A7F80">
        <w:rPr>
          <w:sz w:val="20"/>
          <w:szCs w:val="20"/>
        </w:rPr>
        <w:t xml:space="preserve">particular </w:t>
      </w:r>
      <w:r w:rsidR="00C51493" w:rsidRPr="007A7F80">
        <w:rPr>
          <w:sz w:val="20"/>
          <w:szCs w:val="20"/>
        </w:rPr>
        <w:t>issue</w:t>
      </w:r>
      <w:proofErr w:type="gramEnd"/>
      <w:r w:rsidRPr="007A7F80">
        <w:rPr>
          <w:sz w:val="20"/>
          <w:szCs w:val="20"/>
        </w:rPr>
        <w:t xml:space="preserve"> should be addressed in the proposed guidelines.</w:t>
      </w:r>
    </w:p>
    <w:p w:rsidR="00C016D7" w:rsidRPr="007A7F80" w:rsidRDefault="00C016D7" w:rsidP="00587EEF">
      <w:pPr>
        <w:pStyle w:val="Textedesaisie"/>
        <w:rPr>
          <w:sz w:val="20"/>
          <w:szCs w:val="20"/>
        </w:rPr>
      </w:pPr>
    </w:p>
    <w:p w:rsidR="002E3661" w:rsidRPr="007A7F80" w:rsidRDefault="002E3661" w:rsidP="00587EEF">
      <w:pPr>
        <w:pStyle w:val="Textedesaisie"/>
        <w:rPr>
          <w:sz w:val="20"/>
          <w:szCs w:val="20"/>
        </w:rPr>
      </w:pPr>
    </w:p>
    <w:bookmarkEnd w:id="1"/>
    <w:p w:rsidR="00972B00" w:rsidRPr="00AE792D" w:rsidRDefault="00972B00">
      <w:pPr>
        <w:spacing w:after="200" w:line="276" w:lineRule="auto"/>
        <w:rPr>
          <w:sz w:val="20"/>
          <w:szCs w:val="20"/>
        </w:rPr>
      </w:pPr>
      <w:r w:rsidRPr="00AE792D">
        <w:rPr>
          <w:sz w:val="20"/>
          <w:szCs w:val="20"/>
        </w:rPr>
        <w:br w:type="page"/>
      </w:r>
    </w:p>
    <w:p w:rsidR="00BB4C49" w:rsidRPr="007A7F80" w:rsidRDefault="00795BE2" w:rsidP="00F55690">
      <w:pPr>
        <w:pStyle w:val="Titre2"/>
        <w:rPr>
          <w:sz w:val="20"/>
          <w:szCs w:val="20"/>
        </w:rPr>
      </w:pPr>
      <w:r w:rsidRPr="007A7F80">
        <w:rPr>
          <w:sz w:val="20"/>
          <w:szCs w:val="20"/>
        </w:rPr>
        <w:t>Detailed answers</w:t>
      </w:r>
    </w:p>
    <w:p w:rsidR="00BB4C49" w:rsidRPr="007A7F80" w:rsidRDefault="00BB4C49" w:rsidP="00F55690">
      <w:pPr>
        <w:pStyle w:val="Sparationtitre2"/>
        <w:rPr>
          <w:sz w:val="20"/>
          <w:szCs w:val="20"/>
        </w:rPr>
      </w:pPr>
    </w:p>
    <w:p w:rsidR="008F44A4" w:rsidRPr="007A7F80" w:rsidRDefault="007E4DEF" w:rsidP="00BB4C49">
      <w:pPr>
        <w:pStyle w:val="Textedesaisie"/>
        <w:rPr>
          <w:color w:val="312783" w:themeColor="accent1"/>
          <w:sz w:val="20"/>
          <w:szCs w:val="20"/>
        </w:rPr>
      </w:pPr>
      <w:r w:rsidRPr="007A7F80">
        <w:rPr>
          <w:color w:val="312783" w:themeColor="accent1"/>
          <w:sz w:val="20"/>
          <w:szCs w:val="20"/>
        </w:rPr>
        <w:t xml:space="preserve">Q1 Is the scope of application provided appropriate and sufficiently </w:t>
      </w:r>
      <w:proofErr w:type="gramStart"/>
      <w:r w:rsidRPr="007A7F80">
        <w:rPr>
          <w:color w:val="312783" w:themeColor="accent1"/>
          <w:sz w:val="20"/>
          <w:szCs w:val="20"/>
        </w:rPr>
        <w:t>clear ?</w:t>
      </w:r>
      <w:proofErr w:type="gramEnd"/>
    </w:p>
    <w:p w:rsidR="007E4DEF" w:rsidRPr="007A7F80" w:rsidRDefault="007E4DEF" w:rsidP="00BB4C49">
      <w:pPr>
        <w:pStyle w:val="Textedesaisie"/>
        <w:rPr>
          <w:sz w:val="20"/>
          <w:szCs w:val="20"/>
        </w:rPr>
      </w:pPr>
      <w:r w:rsidRPr="007A7F80">
        <w:rPr>
          <w:sz w:val="20"/>
          <w:szCs w:val="20"/>
        </w:rPr>
        <w:t xml:space="preserve">No, </w:t>
      </w:r>
      <w:r w:rsidR="00867270" w:rsidRPr="007A7F80">
        <w:rPr>
          <w:sz w:val="20"/>
          <w:szCs w:val="20"/>
        </w:rPr>
        <w:t>please refer to</w:t>
      </w:r>
      <w:r w:rsidRPr="007A7F80">
        <w:rPr>
          <w:sz w:val="20"/>
          <w:szCs w:val="20"/>
        </w:rPr>
        <w:t xml:space="preserve"> </w:t>
      </w:r>
      <w:r w:rsidR="00867270" w:rsidRPr="007A7F80">
        <w:rPr>
          <w:sz w:val="20"/>
          <w:szCs w:val="20"/>
        </w:rPr>
        <w:t>our remarks above</w:t>
      </w:r>
      <w:r w:rsidRPr="007A7F80">
        <w:rPr>
          <w:sz w:val="20"/>
          <w:szCs w:val="20"/>
        </w:rPr>
        <w:t>.</w:t>
      </w:r>
    </w:p>
    <w:p w:rsidR="007E4DEF" w:rsidRPr="007A7F80" w:rsidRDefault="007E4DEF" w:rsidP="00BB4C49">
      <w:pPr>
        <w:pStyle w:val="Textedesaisie"/>
        <w:rPr>
          <w:sz w:val="20"/>
          <w:szCs w:val="20"/>
        </w:rPr>
      </w:pPr>
    </w:p>
    <w:p w:rsidR="007E4DEF" w:rsidRPr="007A7F80" w:rsidRDefault="007E4DEF" w:rsidP="00BB4C49">
      <w:pPr>
        <w:pStyle w:val="Textedesaisie"/>
        <w:rPr>
          <w:color w:val="312783" w:themeColor="accent1"/>
          <w:sz w:val="20"/>
          <w:szCs w:val="20"/>
        </w:rPr>
      </w:pPr>
      <w:r w:rsidRPr="007A7F80">
        <w:rPr>
          <w:color w:val="312783" w:themeColor="accent1"/>
          <w:sz w:val="20"/>
          <w:szCs w:val="20"/>
        </w:rPr>
        <w:t xml:space="preserve">Q2 Is the set of definitions provided appropriate and sufficiently </w:t>
      </w:r>
      <w:proofErr w:type="gramStart"/>
      <w:r w:rsidRPr="007A7F80">
        <w:rPr>
          <w:color w:val="312783" w:themeColor="accent1"/>
          <w:sz w:val="20"/>
          <w:szCs w:val="20"/>
        </w:rPr>
        <w:t>clear ?</w:t>
      </w:r>
      <w:proofErr w:type="gramEnd"/>
    </w:p>
    <w:p w:rsidR="007270E7" w:rsidRDefault="00C04073" w:rsidP="007C316A">
      <w:pPr>
        <w:pStyle w:val="Textedesaisie"/>
        <w:rPr>
          <w:b/>
          <w:sz w:val="20"/>
          <w:szCs w:val="20"/>
          <w:u w:val="single"/>
        </w:rPr>
      </w:pPr>
      <w:proofErr w:type="gramStart"/>
      <w:r w:rsidRPr="007A7F80">
        <w:rPr>
          <w:sz w:val="20"/>
          <w:szCs w:val="20"/>
        </w:rPr>
        <w:t>Generally speaking, the</w:t>
      </w:r>
      <w:proofErr w:type="gramEnd"/>
      <w:r w:rsidRPr="007A7F80">
        <w:rPr>
          <w:sz w:val="20"/>
          <w:szCs w:val="20"/>
        </w:rPr>
        <w:t xml:space="preserve"> FFA does not understand why the number of definitions of EIOPA guidelines is far more important than definitions listed in EBA guidelines.</w:t>
      </w:r>
      <w:r w:rsidR="007C316A" w:rsidRPr="007A7F80">
        <w:rPr>
          <w:sz w:val="20"/>
          <w:szCs w:val="20"/>
        </w:rPr>
        <w:t xml:space="preserve"> </w:t>
      </w:r>
      <w:r w:rsidR="007270E7" w:rsidRPr="007270E7">
        <w:rPr>
          <w:b/>
          <w:sz w:val="20"/>
          <w:szCs w:val="20"/>
          <w:u w:val="single"/>
        </w:rPr>
        <w:t xml:space="preserve">As a general principle, all the definitions contained into </w:t>
      </w:r>
      <w:r w:rsidR="00FF0592">
        <w:rPr>
          <w:b/>
          <w:sz w:val="20"/>
          <w:szCs w:val="20"/>
          <w:u w:val="single"/>
        </w:rPr>
        <w:t xml:space="preserve">the Guidelines should absolutely refer to </w:t>
      </w:r>
      <w:r w:rsidR="00047F15">
        <w:rPr>
          <w:b/>
          <w:sz w:val="20"/>
          <w:szCs w:val="20"/>
          <w:u w:val="single"/>
        </w:rPr>
        <w:t xml:space="preserve">those included into </w:t>
      </w:r>
      <w:r w:rsidR="007270E7" w:rsidRPr="007270E7">
        <w:rPr>
          <w:b/>
          <w:sz w:val="20"/>
          <w:szCs w:val="20"/>
          <w:u w:val="single"/>
        </w:rPr>
        <w:t>Solvency</w:t>
      </w:r>
      <w:r w:rsidR="00047F15">
        <w:rPr>
          <w:b/>
          <w:sz w:val="20"/>
          <w:szCs w:val="20"/>
          <w:u w:val="single"/>
        </w:rPr>
        <w:t xml:space="preserve"> 2</w:t>
      </w:r>
      <w:r w:rsidR="007270E7" w:rsidRPr="007270E7">
        <w:rPr>
          <w:b/>
          <w:sz w:val="20"/>
          <w:szCs w:val="20"/>
          <w:u w:val="single"/>
        </w:rPr>
        <w:t xml:space="preserve"> regulation</w:t>
      </w:r>
      <w:r w:rsidR="00047F15">
        <w:rPr>
          <w:b/>
          <w:sz w:val="20"/>
          <w:szCs w:val="20"/>
          <w:u w:val="single"/>
        </w:rPr>
        <w:t>.</w:t>
      </w:r>
    </w:p>
    <w:p w:rsidR="00047F15" w:rsidRPr="007A7F80" w:rsidRDefault="00047F15" w:rsidP="007C316A">
      <w:pPr>
        <w:pStyle w:val="Textedesaisie"/>
        <w:rPr>
          <w:sz w:val="20"/>
          <w:szCs w:val="20"/>
        </w:rPr>
      </w:pPr>
    </w:p>
    <w:p w:rsidR="002E3661" w:rsidRPr="007A7F80" w:rsidRDefault="002E3661" w:rsidP="002E3661">
      <w:pPr>
        <w:pStyle w:val="Textedesaisie"/>
        <w:numPr>
          <w:ilvl w:val="0"/>
          <w:numId w:val="21"/>
        </w:numPr>
        <w:rPr>
          <w:sz w:val="20"/>
          <w:szCs w:val="20"/>
        </w:rPr>
      </w:pPr>
      <w:r w:rsidRPr="007A7F80">
        <w:rPr>
          <w:sz w:val="20"/>
          <w:szCs w:val="20"/>
        </w:rPr>
        <w:t>The definition of “</w:t>
      </w:r>
      <w:r w:rsidRPr="007A7F80">
        <w:rPr>
          <w:i/>
          <w:sz w:val="20"/>
          <w:szCs w:val="20"/>
        </w:rPr>
        <w:t>function</w:t>
      </w:r>
      <w:r w:rsidRPr="007A7F80">
        <w:rPr>
          <w:sz w:val="20"/>
          <w:szCs w:val="20"/>
        </w:rPr>
        <w:t xml:space="preserve">” should be deleted, recital 31 </w:t>
      </w:r>
      <w:r w:rsidR="007270E7">
        <w:rPr>
          <w:sz w:val="20"/>
          <w:szCs w:val="20"/>
        </w:rPr>
        <w:t xml:space="preserve">and art. 13.29 </w:t>
      </w:r>
      <w:r w:rsidRPr="007A7F80">
        <w:rPr>
          <w:sz w:val="20"/>
          <w:szCs w:val="20"/>
        </w:rPr>
        <w:t>of Solvency 2 directive already contains a definition of function</w:t>
      </w:r>
      <w:r w:rsidRPr="007A7F80">
        <w:rPr>
          <w:rStyle w:val="Appelnotedebasdep"/>
          <w:sz w:val="20"/>
          <w:szCs w:val="20"/>
        </w:rPr>
        <w:footnoteReference w:id="2"/>
      </w:r>
      <w:r w:rsidRPr="007A7F80">
        <w:rPr>
          <w:sz w:val="20"/>
          <w:szCs w:val="20"/>
        </w:rPr>
        <w:t>; the guidelines should only refer to the Solvency 2 definition.</w:t>
      </w:r>
    </w:p>
    <w:p w:rsidR="002E3661" w:rsidRPr="007A7F80" w:rsidRDefault="002E3661" w:rsidP="002E3661">
      <w:pPr>
        <w:pStyle w:val="Textedesaisie"/>
        <w:numPr>
          <w:ilvl w:val="0"/>
          <w:numId w:val="21"/>
        </w:numPr>
        <w:rPr>
          <w:sz w:val="20"/>
          <w:szCs w:val="20"/>
        </w:rPr>
      </w:pPr>
      <w:r w:rsidRPr="007A7F80">
        <w:rPr>
          <w:sz w:val="20"/>
          <w:szCs w:val="20"/>
        </w:rPr>
        <w:t>The definition of “material outsourcing” should be removed or only refers to “</w:t>
      </w:r>
      <w:r w:rsidRPr="007A7F80">
        <w:rPr>
          <w:i/>
          <w:sz w:val="20"/>
          <w:szCs w:val="20"/>
        </w:rPr>
        <w:t>outsourcing of critical or important operational functions or activities as defined in Solvency 2 regulation</w:t>
      </w:r>
      <w:r w:rsidRPr="007A7F80">
        <w:rPr>
          <w:sz w:val="20"/>
          <w:szCs w:val="20"/>
        </w:rPr>
        <w:t>”.</w:t>
      </w:r>
    </w:p>
    <w:p w:rsidR="002E3661" w:rsidRPr="007A7F80" w:rsidRDefault="002E3661" w:rsidP="002E3661">
      <w:pPr>
        <w:pStyle w:val="Textedesaisie"/>
        <w:numPr>
          <w:ilvl w:val="0"/>
          <w:numId w:val="21"/>
        </w:numPr>
        <w:rPr>
          <w:bCs/>
          <w:iCs/>
          <w:sz w:val="20"/>
          <w:szCs w:val="20"/>
        </w:rPr>
      </w:pPr>
      <w:r w:rsidRPr="007A7F80">
        <w:rPr>
          <w:bCs/>
          <w:iCs/>
          <w:sz w:val="20"/>
          <w:szCs w:val="20"/>
        </w:rPr>
        <w:t>The definition of “</w:t>
      </w:r>
      <w:r w:rsidRPr="007A7F80">
        <w:rPr>
          <w:bCs/>
          <w:i/>
          <w:iCs/>
          <w:sz w:val="20"/>
          <w:szCs w:val="20"/>
        </w:rPr>
        <w:t>service provider</w:t>
      </w:r>
      <w:r w:rsidRPr="007A7F80">
        <w:rPr>
          <w:bCs/>
          <w:iCs/>
          <w:sz w:val="20"/>
          <w:szCs w:val="20"/>
        </w:rPr>
        <w:t>”: is not clear. What is meant by “</w:t>
      </w:r>
      <w:r w:rsidRPr="007A7F80">
        <w:rPr>
          <w:bCs/>
          <w:i/>
          <w:iCs/>
          <w:sz w:val="20"/>
          <w:szCs w:val="20"/>
        </w:rPr>
        <w:t>performing an outsourced process, service or activity, or parts thereof, under an outsourcing arrangement</w:t>
      </w:r>
      <w:r w:rsidRPr="007A7F80">
        <w:rPr>
          <w:bCs/>
          <w:iCs/>
          <w:sz w:val="20"/>
          <w:szCs w:val="20"/>
        </w:rPr>
        <w:t xml:space="preserve">”? Does that include third parties which are not cloud service providers but rely significantly on cloud infrastructure to deliver their services, as well as cloud brokers? </w:t>
      </w:r>
    </w:p>
    <w:p w:rsidR="002E3661" w:rsidRPr="00AE792D" w:rsidRDefault="002E3661" w:rsidP="002E3661">
      <w:pPr>
        <w:pStyle w:val="Textedesaisie"/>
        <w:numPr>
          <w:ilvl w:val="0"/>
          <w:numId w:val="21"/>
        </w:numPr>
        <w:rPr>
          <w:bCs/>
          <w:iCs/>
          <w:sz w:val="20"/>
          <w:szCs w:val="20"/>
        </w:rPr>
      </w:pPr>
      <w:r w:rsidRPr="007A7F80">
        <w:rPr>
          <w:bCs/>
          <w:iCs/>
          <w:sz w:val="20"/>
          <w:szCs w:val="20"/>
        </w:rPr>
        <w:t>The definition of “</w:t>
      </w:r>
      <w:r w:rsidRPr="007A7F80">
        <w:rPr>
          <w:bCs/>
          <w:i/>
          <w:iCs/>
          <w:sz w:val="20"/>
          <w:szCs w:val="20"/>
        </w:rPr>
        <w:t>cloud service provider</w:t>
      </w:r>
      <w:r w:rsidRPr="007A7F80">
        <w:rPr>
          <w:bCs/>
          <w:iCs/>
          <w:sz w:val="20"/>
          <w:szCs w:val="20"/>
        </w:rPr>
        <w:t xml:space="preserve">” is far too broad and would force insurance companies to </w:t>
      </w:r>
      <w:proofErr w:type="gramStart"/>
      <w:r w:rsidRPr="007A7F80">
        <w:rPr>
          <w:bCs/>
          <w:iCs/>
          <w:sz w:val="20"/>
          <w:szCs w:val="20"/>
        </w:rPr>
        <w:t>take into account</w:t>
      </w:r>
      <w:proofErr w:type="gramEnd"/>
      <w:r w:rsidRPr="007A7F80">
        <w:rPr>
          <w:bCs/>
          <w:iCs/>
          <w:sz w:val="20"/>
          <w:szCs w:val="20"/>
        </w:rPr>
        <w:t xml:space="preserve"> all IT service providers. What is meant by third party who “</w:t>
      </w:r>
      <w:r w:rsidRPr="007A7F80">
        <w:rPr>
          <w:bCs/>
          <w:i/>
          <w:iCs/>
          <w:sz w:val="20"/>
          <w:szCs w:val="20"/>
        </w:rPr>
        <w:t>rely significantly on cloud service providers to deliver their services</w:t>
      </w:r>
      <w:r w:rsidRPr="007A7F80">
        <w:rPr>
          <w:bCs/>
          <w:iCs/>
          <w:sz w:val="20"/>
          <w:szCs w:val="20"/>
        </w:rPr>
        <w:t xml:space="preserve">”? </w:t>
      </w:r>
    </w:p>
    <w:p w:rsidR="00AE5386" w:rsidRPr="007A7F80" w:rsidRDefault="00587EEF" w:rsidP="000B19AC">
      <w:pPr>
        <w:pStyle w:val="Textedesaisie"/>
        <w:numPr>
          <w:ilvl w:val="0"/>
          <w:numId w:val="21"/>
        </w:numPr>
        <w:rPr>
          <w:sz w:val="20"/>
          <w:szCs w:val="20"/>
        </w:rPr>
      </w:pPr>
      <w:r w:rsidRPr="007A7F80">
        <w:rPr>
          <w:sz w:val="20"/>
          <w:szCs w:val="20"/>
        </w:rPr>
        <w:t xml:space="preserve">The definition of </w:t>
      </w:r>
      <w:r w:rsidR="00D06C70" w:rsidRPr="007A7F80">
        <w:rPr>
          <w:sz w:val="20"/>
          <w:szCs w:val="20"/>
        </w:rPr>
        <w:t>“</w:t>
      </w:r>
      <w:r w:rsidRPr="007A7F80">
        <w:rPr>
          <w:i/>
          <w:sz w:val="20"/>
          <w:szCs w:val="20"/>
        </w:rPr>
        <w:t>cloud broker</w:t>
      </w:r>
      <w:r w:rsidR="00D06C70" w:rsidRPr="007A7F80">
        <w:rPr>
          <w:sz w:val="20"/>
          <w:szCs w:val="20"/>
        </w:rPr>
        <w:t>”</w:t>
      </w:r>
      <w:r w:rsidRPr="007A7F80">
        <w:rPr>
          <w:sz w:val="20"/>
          <w:szCs w:val="20"/>
        </w:rPr>
        <w:t xml:space="preserve"> should be deleted to the extent that the term is not used anymore in the text of the guidelines.</w:t>
      </w:r>
    </w:p>
    <w:p w:rsidR="00C9122B" w:rsidRPr="007A7F80" w:rsidRDefault="00C9122B" w:rsidP="00EF0DC0">
      <w:pPr>
        <w:pStyle w:val="Textedesaisie"/>
        <w:numPr>
          <w:ilvl w:val="0"/>
          <w:numId w:val="21"/>
        </w:numPr>
        <w:rPr>
          <w:bCs/>
          <w:iCs/>
          <w:sz w:val="20"/>
          <w:szCs w:val="20"/>
        </w:rPr>
      </w:pPr>
      <w:r w:rsidRPr="007A7F80">
        <w:rPr>
          <w:bCs/>
          <w:iCs/>
          <w:sz w:val="20"/>
          <w:szCs w:val="20"/>
        </w:rPr>
        <w:t>The definition of “</w:t>
      </w:r>
      <w:r w:rsidRPr="007A7F80">
        <w:rPr>
          <w:bCs/>
          <w:i/>
          <w:iCs/>
          <w:sz w:val="20"/>
          <w:szCs w:val="20"/>
        </w:rPr>
        <w:t>significant sub-outsourcer</w:t>
      </w:r>
      <w:r w:rsidRPr="007A7F80">
        <w:rPr>
          <w:bCs/>
          <w:iCs/>
          <w:sz w:val="20"/>
          <w:szCs w:val="20"/>
        </w:rPr>
        <w:t>” is not clear</w:t>
      </w:r>
      <w:r w:rsidR="00FD7200" w:rsidRPr="007A7F80">
        <w:rPr>
          <w:bCs/>
          <w:iCs/>
          <w:sz w:val="20"/>
          <w:szCs w:val="20"/>
        </w:rPr>
        <w:t>, i</w:t>
      </w:r>
      <w:r w:rsidRPr="007A7F80">
        <w:rPr>
          <w:bCs/>
          <w:iCs/>
          <w:sz w:val="20"/>
          <w:szCs w:val="20"/>
        </w:rPr>
        <w:t>t is too broad.</w:t>
      </w:r>
    </w:p>
    <w:p w:rsidR="007C316A" w:rsidRPr="007A7F80" w:rsidRDefault="007C316A" w:rsidP="00EF0DC0">
      <w:pPr>
        <w:pStyle w:val="Textedesaisie"/>
        <w:numPr>
          <w:ilvl w:val="0"/>
          <w:numId w:val="21"/>
        </w:numPr>
        <w:rPr>
          <w:bCs/>
          <w:iCs/>
          <w:sz w:val="20"/>
          <w:szCs w:val="20"/>
        </w:rPr>
      </w:pPr>
      <w:r w:rsidRPr="007A7F80">
        <w:rPr>
          <w:bCs/>
          <w:iCs/>
          <w:sz w:val="20"/>
          <w:szCs w:val="20"/>
        </w:rPr>
        <w:t xml:space="preserve">The definition of cloud services should insist </w:t>
      </w:r>
      <w:r w:rsidRPr="007A7F80">
        <w:rPr>
          <w:sz w:val="20"/>
          <w:szCs w:val="20"/>
        </w:rPr>
        <w:t>on the opposition between the cloud and local storage: this kind of definition could be proposed: “</w:t>
      </w:r>
      <w:r w:rsidRPr="007A7F80">
        <w:rPr>
          <w:i/>
          <w:sz w:val="20"/>
          <w:szCs w:val="20"/>
        </w:rPr>
        <w:t xml:space="preserve">Services provided through a cloud, </w:t>
      </w:r>
      <w:proofErr w:type="spellStart"/>
      <w:r w:rsidRPr="007A7F80">
        <w:rPr>
          <w:i/>
          <w:sz w:val="20"/>
          <w:szCs w:val="20"/>
        </w:rPr>
        <w:t>i</w:t>
      </w:r>
      <w:proofErr w:type="spellEnd"/>
      <w:r w:rsidRPr="007A7F80">
        <w:rPr>
          <w:i/>
          <w:sz w:val="20"/>
          <w:szCs w:val="20"/>
        </w:rPr>
        <w:t>. e. a set of computer resources (e. g. networks, servers, storage, applications) that are exclusively accessible remotely and allow computer processing without local storage of data or applications and without the service customer receiving dedicated computer resources</w:t>
      </w:r>
      <w:r w:rsidRPr="007A7F80">
        <w:rPr>
          <w:sz w:val="20"/>
          <w:szCs w:val="20"/>
        </w:rPr>
        <w:t>.”</w:t>
      </w:r>
    </w:p>
    <w:p w:rsidR="00A30C4A" w:rsidRPr="007A7F80" w:rsidRDefault="007C316A" w:rsidP="00EF0DC0">
      <w:pPr>
        <w:pStyle w:val="Textedesaisie"/>
        <w:numPr>
          <w:ilvl w:val="0"/>
          <w:numId w:val="21"/>
        </w:numPr>
        <w:rPr>
          <w:bCs/>
          <w:iCs/>
          <w:sz w:val="20"/>
          <w:szCs w:val="20"/>
        </w:rPr>
      </w:pPr>
      <w:r w:rsidRPr="007A7F80">
        <w:rPr>
          <w:bCs/>
          <w:iCs/>
          <w:sz w:val="20"/>
          <w:szCs w:val="20"/>
        </w:rPr>
        <w:t xml:space="preserve">Public </w:t>
      </w:r>
      <w:r w:rsidR="00A30C4A" w:rsidRPr="007A7F80">
        <w:rPr>
          <w:bCs/>
          <w:iCs/>
          <w:sz w:val="20"/>
          <w:szCs w:val="20"/>
        </w:rPr>
        <w:t>Cloud</w:t>
      </w:r>
      <w:r w:rsidR="00C77267" w:rsidRPr="007A7F80">
        <w:rPr>
          <w:bCs/>
          <w:iCs/>
          <w:sz w:val="20"/>
          <w:szCs w:val="20"/>
        </w:rPr>
        <w:t>:</w:t>
      </w:r>
      <w:r w:rsidRPr="007A7F80">
        <w:rPr>
          <w:bCs/>
          <w:iCs/>
          <w:sz w:val="20"/>
          <w:szCs w:val="20"/>
        </w:rPr>
        <w:t xml:space="preserve"> this definition should be </w:t>
      </w:r>
      <w:proofErr w:type="spellStart"/>
      <w:r w:rsidRPr="007A7F80">
        <w:rPr>
          <w:bCs/>
          <w:iCs/>
          <w:sz w:val="20"/>
          <w:szCs w:val="20"/>
        </w:rPr>
        <w:t>precised</w:t>
      </w:r>
      <w:proofErr w:type="spellEnd"/>
    </w:p>
    <w:p w:rsidR="007C316A" w:rsidRPr="007A7F80" w:rsidRDefault="007C316A" w:rsidP="00EF0DC0">
      <w:pPr>
        <w:pStyle w:val="Textedesaisie"/>
        <w:numPr>
          <w:ilvl w:val="0"/>
          <w:numId w:val="21"/>
        </w:numPr>
        <w:rPr>
          <w:bCs/>
          <w:iCs/>
          <w:sz w:val="20"/>
          <w:szCs w:val="20"/>
        </w:rPr>
      </w:pPr>
      <w:r w:rsidRPr="007A7F80">
        <w:rPr>
          <w:bCs/>
          <w:iCs/>
          <w:sz w:val="20"/>
          <w:szCs w:val="20"/>
        </w:rPr>
        <w:t>Private Cloud</w:t>
      </w:r>
      <w:r w:rsidR="00C77267" w:rsidRPr="007A7F80">
        <w:rPr>
          <w:bCs/>
          <w:iCs/>
          <w:sz w:val="20"/>
          <w:szCs w:val="20"/>
        </w:rPr>
        <w:t xml:space="preserve">: </w:t>
      </w:r>
      <w:r w:rsidR="0059637B" w:rsidRPr="007A7F80">
        <w:rPr>
          <w:bCs/>
          <w:iCs/>
          <w:sz w:val="20"/>
          <w:szCs w:val="20"/>
        </w:rPr>
        <w:t xml:space="preserve">this definition should be </w:t>
      </w:r>
      <w:proofErr w:type="spellStart"/>
      <w:r w:rsidR="0059637B" w:rsidRPr="007A7F80">
        <w:rPr>
          <w:bCs/>
          <w:iCs/>
          <w:sz w:val="20"/>
          <w:szCs w:val="20"/>
        </w:rPr>
        <w:t>precised</w:t>
      </w:r>
      <w:proofErr w:type="spellEnd"/>
    </w:p>
    <w:p w:rsidR="0059637B" w:rsidRPr="007A7F80" w:rsidRDefault="0059637B" w:rsidP="0059637B">
      <w:pPr>
        <w:pStyle w:val="Textedesaisie"/>
        <w:ind w:left="720"/>
        <w:rPr>
          <w:bCs/>
          <w:iCs/>
          <w:sz w:val="20"/>
          <w:szCs w:val="20"/>
        </w:rPr>
      </w:pPr>
    </w:p>
    <w:p w:rsidR="00587EEF" w:rsidRPr="007A7F80" w:rsidRDefault="007074E1" w:rsidP="007074E1">
      <w:pPr>
        <w:pStyle w:val="Textedesaisie"/>
        <w:rPr>
          <w:color w:val="312783" w:themeColor="accent1"/>
          <w:sz w:val="20"/>
          <w:szCs w:val="20"/>
        </w:rPr>
      </w:pPr>
      <w:r w:rsidRPr="007A7F80">
        <w:rPr>
          <w:color w:val="312783" w:themeColor="accent1"/>
          <w:sz w:val="20"/>
          <w:szCs w:val="20"/>
        </w:rPr>
        <w:t xml:space="preserve">Q3 Is the timeline to implement the Guidelines considered </w:t>
      </w:r>
      <w:proofErr w:type="gramStart"/>
      <w:r w:rsidRPr="007A7F80">
        <w:rPr>
          <w:color w:val="312783" w:themeColor="accent1"/>
          <w:sz w:val="20"/>
          <w:szCs w:val="20"/>
        </w:rPr>
        <w:t>sufficient</w:t>
      </w:r>
      <w:proofErr w:type="gramEnd"/>
      <w:r w:rsidRPr="007A7F80">
        <w:rPr>
          <w:color w:val="312783" w:themeColor="accent1"/>
          <w:sz w:val="20"/>
          <w:szCs w:val="20"/>
        </w:rPr>
        <w:t xml:space="preserve"> to ensure a smooth transition from the current operational practices to the ones provided by these Guidelines?</w:t>
      </w:r>
    </w:p>
    <w:p w:rsidR="00587EEF" w:rsidRPr="007A7F80" w:rsidRDefault="007074E1" w:rsidP="00BB4C49">
      <w:pPr>
        <w:pStyle w:val="Textedesaisie"/>
        <w:rPr>
          <w:sz w:val="20"/>
          <w:szCs w:val="20"/>
        </w:rPr>
      </w:pPr>
      <w:r w:rsidRPr="007A7F80">
        <w:rPr>
          <w:sz w:val="20"/>
          <w:szCs w:val="20"/>
        </w:rPr>
        <w:t>No,</w:t>
      </w:r>
      <w:r w:rsidR="00AF1E5D" w:rsidRPr="007A7F80">
        <w:rPr>
          <w:sz w:val="20"/>
          <w:szCs w:val="20"/>
        </w:rPr>
        <w:t xml:space="preserve"> please refer to our remarks above.</w:t>
      </w:r>
    </w:p>
    <w:p w:rsidR="007074E1" w:rsidRPr="007A7F80" w:rsidRDefault="007074E1" w:rsidP="00BB4C49">
      <w:pPr>
        <w:pStyle w:val="Textedesaisie"/>
        <w:rPr>
          <w:sz w:val="20"/>
          <w:szCs w:val="20"/>
        </w:rPr>
      </w:pPr>
    </w:p>
    <w:p w:rsidR="007074E1" w:rsidRPr="007A7F80" w:rsidRDefault="007074E1" w:rsidP="007074E1">
      <w:pPr>
        <w:pStyle w:val="Textedesaisie"/>
        <w:rPr>
          <w:color w:val="312783" w:themeColor="accent1"/>
          <w:sz w:val="20"/>
          <w:szCs w:val="20"/>
        </w:rPr>
      </w:pPr>
      <w:r w:rsidRPr="007A7F80">
        <w:rPr>
          <w:color w:val="312783" w:themeColor="accent1"/>
          <w:sz w:val="20"/>
          <w:szCs w:val="20"/>
        </w:rPr>
        <w:t>Q 4 Is the Guideline on cloud services and outsourcing appropriate and sufficiently clear to enable the distinction between cloud services falling within the scope of outsourcing and the ones not falling within such scope?</w:t>
      </w:r>
    </w:p>
    <w:p w:rsidR="00C350ED" w:rsidRPr="007A7F80" w:rsidRDefault="00AF1E5D" w:rsidP="00492075">
      <w:pPr>
        <w:pStyle w:val="Textedesaisie"/>
        <w:rPr>
          <w:bCs/>
          <w:iCs/>
          <w:sz w:val="20"/>
          <w:szCs w:val="20"/>
        </w:rPr>
      </w:pPr>
      <w:r w:rsidRPr="007A7F80">
        <w:rPr>
          <w:sz w:val="20"/>
          <w:szCs w:val="20"/>
        </w:rPr>
        <w:t xml:space="preserve">For us, </w:t>
      </w:r>
      <w:r w:rsidR="001525DD" w:rsidRPr="007A7F80">
        <w:rPr>
          <w:sz w:val="20"/>
          <w:szCs w:val="20"/>
        </w:rPr>
        <w:t xml:space="preserve">the guideline is </w:t>
      </w:r>
      <w:r w:rsidR="002E3661" w:rsidRPr="007A7F80">
        <w:rPr>
          <w:sz w:val="20"/>
          <w:szCs w:val="20"/>
        </w:rPr>
        <w:t xml:space="preserve">quite </w:t>
      </w:r>
      <w:r w:rsidR="001525DD" w:rsidRPr="007A7F80">
        <w:rPr>
          <w:sz w:val="20"/>
          <w:szCs w:val="20"/>
        </w:rPr>
        <w:t>unclear; examples</w:t>
      </w:r>
      <w:r w:rsidR="000E0712" w:rsidRPr="007A7F80">
        <w:rPr>
          <w:sz w:val="20"/>
          <w:szCs w:val="20"/>
        </w:rPr>
        <w:t>/clear criteria</w:t>
      </w:r>
      <w:r w:rsidR="001525DD" w:rsidRPr="007A7F80">
        <w:rPr>
          <w:sz w:val="20"/>
          <w:szCs w:val="20"/>
        </w:rPr>
        <w:t xml:space="preserve"> should be given </w:t>
      </w:r>
      <w:r w:rsidR="000E0712" w:rsidRPr="007A7F80">
        <w:rPr>
          <w:bCs/>
          <w:iCs/>
          <w:sz w:val="20"/>
          <w:szCs w:val="20"/>
        </w:rPr>
        <w:t xml:space="preserve">of what should not be considered as outsourcing </w:t>
      </w:r>
      <w:bookmarkStart w:id="10" w:name="_Hlk18920136"/>
      <w:r w:rsidR="000E0712" w:rsidRPr="007A7F80">
        <w:rPr>
          <w:bCs/>
          <w:iCs/>
          <w:sz w:val="20"/>
          <w:szCs w:val="20"/>
        </w:rPr>
        <w:t>to cloud service providers, as many companies providing IT services rely on clouds for their own activity</w:t>
      </w:r>
      <w:bookmarkEnd w:id="10"/>
      <w:r w:rsidR="000E0712" w:rsidRPr="007A7F80">
        <w:rPr>
          <w:bCs/>
          <w:iCs/>
          <w:sz w:val="20"/>
          <w:szCs w:val="20"/>
        </w:rPr>
        <w:t>.</w:t>
      </w:r>
      <w:r w:rsidR="001525DD" w:rsidRPr="007A7F80">
        <w:rPr>
          <w:sz w:val="20"/>
          <w:szCs w:val="20"/>
        </w:rPr>
        <w:t xml:space="preserve"> </w:t>
      </w:r>
      <w:r w:rsidR="00C350ED" w:rsidRPr="007A7F80">
        <w:rPr>
          <w:bCs/>
          <w:iCs/>
          <w:sz w:val="20"/>
          <w:szCs w:val="20"/>
        </w:rPr>
        <w:t>Indeed,</w:t>
      </w:r>
      <w:r w:rsidR="00C51493" w:rsidRPr="007A7F80">
        <w:rPr>
          <w:bCs/>
          <w:iCs/>
          <w:sz w:val="20"/>
          <w:szCs w:val="20"/>
        </w:rPr>
        <w:t xml:space="preserve"> there are many services that should never be expected to be undertaken by an undertaking itself (e.g. emails system, procurement of storage space/server capacity) and can be classified as a mere purchasing of services rather than as actual outsourcing of the same.</w:t>
      </w:r>
    </w:p>
    <w:tbl>
      <w:tblPr>
        <w:tblStyle w:val="Grilledutableau"/>
        <w:tblW w:w="0" w:type="auto"/>
        <w:tblLook w:val="04A0" w:firstRow="1" w:lastRow="0" w:firstColumn="1" w:lastColumn="0" w:noHBand="0" w:noVBand="1"/>
      </w:tblPr>
      <w:tblGrid>
        <w:gridCol w:w="9628"/>
      </w:tblGrid>
      <w:tr w:rsidR="00E04563" w:rsidRPr="007A7F80" w:rsidTr="004E6D46">
        <w:tc>
          <w:tcPr>
            <w:tcW w:w="9628" w:type="dxa"/>
            <w:shd w:val="clear" w:color="auto" w:fill="D8D8D8" w:themeFill="accent6"/>
          </w:tcPr>
          <w:p w:rsidR="00E04563" w:rsidRPr="007A7F80" w:rsidRDefault="00E04563" w:rsidP="00E04563">
            <w:pPr>
              <w:pStyle w:val="Textedesaisie"/>
              <w:rPr>
                <w:bCs/>
                <w:iCs/>
                <w:sz w:val="20"/>
                <w:szCs w:val="20"/>
              </w:rPr>
            </w:pPr>
            <w:r w:rsidRPr="007A7F80">
              <w:rPr>
                <w:bCs/>
                <w:iCs/>
                <w:sz w:val="20"/>
                <w:szCs w:val="20"/>
              </w:rPr>
              <w:t>Conclusion</w:t>
            </w:r>
            <w:r w:rsidR="00E364CC" w:rsidRPr="007A7F80">
              <w:rPr>
                <w:bCs/>
                <w:iCs/>
                <w:sz w:val="20"/>
                <w:szCs w:val="20"/>
              </w:rPr>
              <w:t>:</w:t>
            </w:r>
            <w:r w:rsidRPr="007A7F80">
              <w:rPr>
                <w:bCs/>
                <w:iCs/>
                <w:sz w:val="20"/>
                <w:szCs w:val="20"/>
              </w:rPr>
              <w:t xml:space="preserve"> only the functions and activities which are deemed critical and important for the activities of the undertaking under Solvency 2 rules should be covered by the Guidelines and only where actually outsourced to a cloud service provider.</w:t>
            </w:r>
          </w:p>
          <w:p w:rsidR="00E04563" w:rsidRPr="007A7F80" w:rsidRDefault="00E04563" w:rsidP="00C350ED">
            <w:pPr>
              <w:pStyle w:val="Textedesaisie"/>
              <w:rPr>
                <w:bCs/>
                <w:iCs/>
                <w:sz w:val="20"/>
                <w:szCs w:val="20"/>
              </w:rPr>
            </w:pPr>
          </w:p>
        </w:tc>
      </w:tr>
    </w:tbl>
    <w:p w:rsidR="009B4643" w:rsidRPr="007A7F80" w:rsidRDefault="009B4643" w:rsidP="00BB4C49">
      <w:pPr>
        <w:pStyle w:val="Textedesaisie"/>
        <w:rPr>
          <w:sz w:val="20"/>
          <w:szCs w:val="20"/>
        </w:rPr>
      </w:pPr>
    </w:p>
    <w:p w:rsidR="001525DD" w:rsidRPr="007A7F80" w:rsidRDefault="001525DD" w:rsidP="001525DD">
      <w:pPr>
        <w:pStyle w:val="Textedesaisie"/>
        <w:rPr>
          <w:color w:val="312783" w:themeColor="accent1"/>
          <w:sz w:val="20"/>
          <w:szCs w:val="20"/>
        </w:rPr>
      </w:pPr>
      <w:r w:rsidRPr="007A7F80">
        <w:rPr>
          <w:color w:val="312783" w:themeColor="accent1"/>
          <w:sz w:val="20"/>
          <w:szCs w:val="20"/>
        </w:rPr>
        <w:t>Q5 Is the Guideline on written policy appropriate and sufficiently clear to manage the undertaking’s roles, processes and procedures on outsourcing to cloud service providers? Is it consistent with the market best practices on defining the policy for general outsourcing?</w:t>
      </w:r>
    </w:p>
    <w:p w:rsidR="00E04563" w:rsidRPr="007A7F80" w:rsidRDefault="00AF1E5D" w:rsidP="006D2ADE">
      <w:pPr>
        <w:pStyle w:val="Textedesaisie"/>
        <w:rPr>
          <w:sz w:val="20"/>
          <w:szCs w:val="20"/>
        </w:rPr>
      </w:pPr>
      <w:r w:rsidRPr="007A7F80">
        <w:rPr>
          <w:sz w:val="20"/>
          <w:szCs w:val="20"/>
        </w:rPr>
        <w:t>F</w:t>
      </w:r>
      <w:r w:rsidR="001525DD" w:rsidRPr="007A7F80">
        <w:rPr>
          <w:sz w:val="20"/>
          <w:szCs w:val="20"/>
        </w:rPr>
        <w:t xml:space="preserve">or the FFA, </w:t>
      </w:r>
      <w:r w:rsidR="006D2ADE" w:rsidRPr="007A7F80">
        <w:rPr>
          <w:sz w:val="20"/>
          <w:szCs w:val="20"/>
        </w:rPr>
        <w:t xml:space="preserve">there is no need to elaborate a guideline regarding written policy which already exists </w:t>
      </w:r>
      <w:r w:rsidR="009B4643" w:rsidRPr="007A7F80">
        <w:rPr>
          <w:sz w:val="20"/>
          <w:szCs w:val="20"/>
        </w:rPr>
        <w:t>with S</w:t>
      </w:r>
      <w:r w:rsidR="006D2ADE" w:rsidRPr="007A7F80">
        <w:rPr>
          <w:sz w:val="20"/>
          <w:szCs w:val="20"/>
        </w:rPr>
        <w:t xml:space="preserve">olvency 2 requirements regarding outsourcing. </w:t>
      </w:r>
    </w:p>
    <w:tbl>
      <w:tblPr>
        <w:tblStyle w:val="Grilledutableau"/>
        <w:tblW w:w="0" w:type="auto"/>
        <w:tblLook w:val="04A0" w:firstRow="1" w:lastRow="0" w:firstColumn="1" w:lastColumn="0" w:noHBand="0" w:noVBand="1"/>
      </w:tblPr>
      <w:tblGrid>
        <w:gridCol w:w="9628"/>
      </w:tblGrid>
      <w:tr w:rsidR="00E04563" w:rsidRPr="007A7F80" w:rsidTr="004E6D46">
        <w:tc>
          <w:tcPr>
            <w:tcW w:w="9628" w:type="dxa"/>
            <w:shd w:val="clear" w:color="auto" w:fill="D8D8D8" w:themeFill="accent6"/>
          </w:tcPr>
          <w:p w:rsidR="00E04563" w:rsidRPr="007A7F80" w:rsidRDefault="00E04563" w:rsidP="00E04563">
            <w:pPr>
              <w:pStyle w:val="Textedesaisie"/>
              <w:rPr>
                <w:sz w:val="20"/>
                <w:szCs w:val="20"/>
              </w:rPr>
            </w:pPr>
            <w:r w:rsidRPr="007A7F80">
              <w:rPr>
                <w:sz w:val="20"/>
                <w:szCs w:val="20"/>
                <w:lang w:val="en"/>
              </w:rPr>
              <w:t xml:space="preserve">Conclusion: cloud outsourcing arrangements (related to </w:t>
            </w:r>
            <w:bookmarkStart w:id="11" w:name="_Hlk19003342"/>
            <w:r w:rsidRPr="007A7F80">
              <w:rPr>
                <w:sz w:val="20"/>
                <w:szCs w:val="20"/>
                <w:lang w:val="en"/>
              </w:rPr>
              <w:t>critical or important function or activity</w:t>
            </w:r>
            <w:bookmarkEnd w:id="11"/>
            <w:r w:rsidRPr="007A7F80">
              <w:rPr>
                <w:sz w:val="20"/>
                <w:szCs w:val="20"/>
                <w:lang w:val="en"/>
              </w:rPr>
              <w:t>) should be integrated into the overall outsourcing process to ensure a consistent governance.</w:t>
            </w:r>
          </w:p>
          <w:p w:rsidR="00E04563" w:rsidRPr="007A7F80" w:rsidRDefault="00E04563" w:rsidP="006D2ADE">
            <w:pPr>
              <w:pStyle w:val="Textedesaisie"/>
              <w:rPr>
                <w:sz w:val="20"/>
                <w:szCs w:val="20"/>
                <w:lang w:val="en"/>
              </w:rPr>
            </w:pPr>
          </w:p>
        </w:tc>
      </w:tr>
    </w:tbl>
    <w:p w:rsidR="00AF1E5D" w:rsidRPr="007A7F80" w:rsidRDefault="00AF1E5D" w:rsidP="001A1D1C">
      <w:pPr>
        <w:pStyle w:val="Textedesaisie"/>
        <w:rPr>
          <w:color w:val="312783" w:themeColor="accent1"/>
          <w:sz w:val="20"/>
          <w:szCs w:val="20"/>
        </w:rPr>
      </w:pPr>
    </w:p>
    <w:p w:rsidR="001525DD" w:rsidRPr="007A7F80" w:rsidRDefault="001A1D1C" w:rsidP="001A1D1C">
      <w:pPr>
        <w:pStyle w:val="Textedesaisie"/>
        <w:rPr>
          <w:color w:val="312783" w:themeColor="accent1"/>
          <w:sz w:val="20"/>
          <w:szCs w:val="20"/>
        </w:rPr>
      </w:pPr>
      <w:r w:rsidRPr="007A7F80">
        <w:rPr>
          <w:color w:val="312783" w:themeColor="accent1"/>
          <w:sz w:val="20"/>
          <w:szCs w:val="20"/>
        </w:rPr>
        <w:t xml:space="preserve">Q6 Is the list of information to be notified to the national supervisory authorities considered appropriate to understand the most significant areas taken into account by the undertakings in their </w:t>
      </w:r>
      <w:proofErr w:type="gramStart"/>
      <w:r w:rsidRPr="007A7F80">
        <w:rPr>
          <w:color w:val="312783" w:themeColor="accent1"/>
          <w:sz w:val="20"/>
          <w:szCs w:val="20"/>
        </w:rPr>
        <w:t>decision making</w:t>
      </w:r>
      <w:proofErr w:type="gramEnd"/>
      <w:r w:rsidRPr="007A7F80">
        <w:rPr>
          <w:color w:val="312783" w:themeColor="accent1"/>
          <w:sz w:val="20"/>
          <w:szCs w:val="20"/>
        </w:rPr>
        <w:t xml:space="preserve"> process?</w:t>
      </w:r>
    </w:p>
    <w:p w:rsidR="001A1D1C" w:rsidRPr="007A7F80" w:rsidRDefault="00AF1E5D" w:rsidP="001A1D1C">
      <w:pPr>
        <w:pStyle w:val="Textedesaisie"/>
        <w:rPr>
          <w:sz w:val="20"/>
          <w:szCs w:val="20"/>
        </w:rPr>
      </w:pPr>
      <w:r w:rsidRPr="007A7F80">
        <w:rPr>
          <w:sz w:val="20"/>
          <w:szCs w:val="20"/>
        </w:rPr>
        <w:t>T</w:t>
      </w:r>
      <w:r w:rsidR="009B4643" w:rsidRPr="007A7F80">
        <w:rPr>
          <w:bCs/>
          <w:iCs/>
          <w:sz w:val="20"/>
          <w:szCs w:val="20"/>
        </w:rPr>
        <w:t xml:space="preserve">he notification requirement should be limited to cloud outsourcing arrangements involving </w:t>
      </w:r>
      <w:r w:rsidR="009B4643" w:rsidRPr="007A7F80">
        <w:rPr>
          <w:bCs/>
          <w:iCs/>
          <w:sz w:val="20"/>
          <w:szCs w:val="20"/>
          <w:lang w:val="en"/>
        </w:rPr>
        <w:t xml:space="preserve">critical or important function or activity. </w:t>
      </w:r>
      <w:r w:rsidR="009B4643" w:rsidRPr="007A7F80">
        <w:rPr>
          <w:sz w:val="20"/>
          <w:szCs w:val="20"/>
        </w:rPr>
        <w:t>T</w:t>
      </w:r>
      <w:r w:rsidR="007C0B83" w:rsidRPr="007A7F80">
        <w:rPr>
          <w:sz w:val="20"/>
          <w:szCs w:val="20"/>
        </w:rPr>
        <w:t xml:space="preserve">he list </w:t>
      </w:r>
      <w:r w:rsidR="009B4643" w:rsidRPr="007A7F80">
        <w:rPr>
          <w:sz w:val="20"/>
          <w:szCs w:val="20"/>
        </w:rPr>
        <w:t xml:space="preserve">of information to be notified </w:t>
      </w:r>
      <w:r w:rsidR="007C0B83" w:rsidRPr="007A7F80">
        <w:rPr>
          <w:sz w:val="20"/>
          <w:szCs w:val="20"/>
        </w:rPr>
        <w:t>should be in line with notification required by Solvency 2 regulation regarding outsourcing</w:t>
      </w:r>
      <w:r w:rsidR="00B850ED" w:rsidRPr="007A7F80">
        <w:rPr>
          <w:sz w:val="20"/>
          <w:szCs w:val="20"/>
        </w:rPr>
        <w:t xml:space="preserve"> (only for critical or important function or activity)</w:t>
      </w:r>
      <w:r w:rsidR="007C0B83" w:rsidRPr="007A7F80">
        <w:rPr>
          <w:sz w:val="20"/>
          <w:szCs w:val="20"/>
        </w:rPr>
        <w:t xml:space="preserve">. </w:t>
      </w:r>
      <w:r w:rsidR="00200E95" w:rsidRPr="007A7F80">
        <w:rPr>
          <w:sz w:val="20"/>
          <w:szCs w:val="20"/>
        </w:rPr>
        <w:t>Practical details regarding this notification’s procedure</w:t>
      </w:r>
      <w:r w:rsidR="007C0B83" w:rsidRPr="007A7F80">
        <w:rPr>
          <w:sz w:val="20"/>
          <w:szCs w:val="20"/>
        </w:rPr>
        <w:t xml:space="preserve"> should be decided at national supervisory authority level</w:t>
      </w:r>
      <w:r w:rsidR="006221FC" w:rsidRPr="007A7F80">
        <w:rPr>
          <w:sz w:val="20"/>
          <w:szCs w:val="20"/>
        </w:rPr>
        <w:t>.</w:t>
      </w:r>
    </w:p>
    <w:tbl>
      <w:tblPr>
        <w:tblStyle w:val="Grilledutableau"/>
        <w:tblW w:w="0" w:type="auto"/>
        <w:shd w:val="clear" w:color="auto" w:fill="D8D8D8" w:themeFill="accent6"/>
        <w:tblLook w:val="04A0" w:firstRow="1" w:lastRow="0" w:firstColumn="1" w:lastColumn="0" w:noHBand="0" w:noVBand="1"/>
      </w:tblPr>
      <w:tblGrid>
        <w:gridCol w:w="9628"/>
      </w:tblGrid>
      <w:tr w:rsidR="00E04563" w:rsidRPr="007A7F80" w:rsidTr="004E6D46">
        <w:tc>
          <w:tcPr>
            <w:tcW w:w="9628" w:type="dxa"/>
            <w:shd w:val="clear" w:color="auto" w:fill="D8D8D8" w:themeFill="accent6"/>
          </w:tcPr>
          <w:p w:rsidR="00E04563" w:rsidRPr="007A7F80" w:rsidRDefault="00E04563" w:rsidP="00E04563">
            <w:pPr>
              <w:pStyle w:val="Textedesaisie"/>
              <w:rPr>
                <w:bCs/>
                <w:sz w:val="20"/>
                <w:szCs w:val="20"/>
              </w:rPr>
            </w:pPr>
            <w:r w:rsidRPr="007A7F80">
              <w:rPr>
                <w:sz w:val="20"/>
                <w:szCs w:val="20"/>
              </w:rPr>
              <w:t xml:space="preserve">Conclusion: </w:t>
            </w:r>
            <w:r w:rsidRPr="007A7F80">
              <w:rPr>
                <w:bCs/>
                <w:sz w:val="20"/>
                <w:szCs w:val="20"/>
              </w:rPr>
              <w:t>the notification of a cloud outsourcing agreement to the national supervisory authority should follow the same rules and be in the same form than that provided for any other Solvency 2 outsourcing arrangement.</w:t>
            </w:r>
          </w:p>
          <w:p w:rsidR="00E04563" w:rsidRPr="007A7F80" w:rsidRDefault="00E04563" w:rsidP="009B4643">
            <w:pPr>
              <w:pStyle w:val="Textedesaisie"/>
              <w:rPr>
                <w:sz w:val="20"/>
                <w:szCs w:val="20"/>
              </w:rPr>
            </w:pPr>
          </w:p>
        </w:tc>
      </w:tr>
    </w:tbl>
    <w:p w:rsidR="009B4643" w:rsidRPr="007A7F80" w:rsidRDefault="009B4643" w:rsidP="001A1D1C">
      <w:pPr>
        <w:pStyle w:val="Textedesaisie"/>
        <w:rPr>
          <w:sz w:val="20"/>
          <w:szCs w:val="20"/>
        </w:rPr>
      </w:pPr>
    </w:p>
    <w:p w:rsidR="006221FC" w:rsidRPr="007A7F80" w:rsidRDefault="006221FC" w:rsidP="006221FC">
      <w:pPr>
        <w:pStyle w:val="Textedesaisie"/>
        <w:rPr>
          <w:color w:val="312783" w:themeColor="accent1"/>
          <w:sz w:val="20"/>
          <w:szCs w:val="20"/>
        </w:rPr>
      </w:pPr>
      <w:r w:rsidRPr="007A7F80">
        <w:rPr>
          <w:color w:val="312783" w:themeColor="accent1"/>
          <w:sz w:val="20"/>
          <w:szCs w:val="20"/>
        </w:rPr>
        <w:t>Q7 Would the introduction of a reg</w:t>
      </w:r>
      <w:r w:rsidR="0022766B" w:rsidRPr="007A7F80">
        <w:rPr>
          <w:color w:val="312783" w:themeColor="accent1"/>
          <w:sz w:val="20"/>
          <w:szCs w:val="20"/>
        </w:rPr>
        <w:t>i</w:t>
      </w:r>
      <w:r w:rsidRPr="007A7F80">
        <w:rPr>
          <w:color w:val="312783" w:themeColor="accent1"/>
          <w:sz w:val="20"/>
          <w:szCs w:val="20"/>
        </w:rPr>
        <w:t>ster of all cloud outsourcing arrangement have a significant impact on the current undertakings practices to manage cloud outsourcing arrangements? What can be other approaches to ensure a proper and sound holistic oversight of cloud outsourcing?</w:t>
      </w:r>
    </w:p>
    <w:p w:rsidR="00856CA3" w:rsidRPr="007A7F80" w:rsidRDefault="00856CA3" w:rsidP="00856CA3">
      <w:pPr>
        <w:pStyle w:val="Textedesaisie"/>
        <w:rPr>
          <w:bCs/>
          <w:iCs/>
          <w:sz w:val="20"/>
          <w:szCs w:val="20"/>
        </w:rPr>
      </w:pPr>
      <w:r w:rsidRPr="007A7F80">
        <w:rPr>
          <w:sz w:val="20"/>
          <w:szCs w:val="20"/>
        </w:rPr>
        <w:t>For a sound governance, the FFA is not opposed in principle to list cloud outsourcing arrangements regarding critical or important functions but the guideline give</w:t>
      </w:r>
      <w:r w:rsidR="000A3D48" w:rsidRPr="007A7F80">
        <w:rPr>
          <w:sz w:val="20"/>
          <w:szCs w:val="20"/>
        </w:rPr>
        <w:t>s</w:t>
      </w:r>
      <w:r w:rsidRPr="007A7F80">
        <w:rPr>
          <w:sz w:val="20"/>
          <w:szCs w:val="20"/>
        </w:rPr>
        <w:t xml:space="preserve"> too much details; the form and the location of this kind of information should be taken by the insurance company. Indeed, Insurance companies </w:t>
      </w:r>
      <w:r w:rsidRPr="007A7F80">
        <w:rPr>
          <w:bCs/>
          <w:iCs/>
          <w:sz w:val="20"/>
          <w:szCs w:val="20"/>
        </w:rPr>
        <w:t>should have more flexibility with regards to the oversight of cloud outsourcing</w:t>
      </w:r>
      <w:r w:rsidRPr="007A7F80">
        <w:rPr>
          <w:sz w:val="20"/>
          <w:szCs w:val="20"/>
        </w:rPr>
        <w:t xml:space="preserve"> arrangements. </w:t>
      </w:r>
    </w:p>
    <w:p w:rsidR="00CD7364" w:rsidRPr="007A7F80" w:rsidRDefault="00856CA3" w:rsidP="00841D0F">
      <w:pPr>
        <w:pStyle w:val="Textedesaisie"/>
        <w:rPr>
          <w:sz w:val="20"/>
          <w:szCs w:val="20"/>
        </w:rPr>
      </w:pPr>
      <w:r w:rsidRPr="007A7F80">
        <w:rPr>
          <w:sz w:val="20"/>
          <w:szCs w:val="20"/>
        </w:rPr>
        <w:t>T</w:t>
      </w:r>
      <w:r w:rsidR="00A142DF" w:rsidRPr="007A7F80">
        <w:rPr>
          <w:sz w:val="20"/>
          <w:szCs w:val="20"/>
        </w:rPr>
        <w:t>he FFA would like to stress the difficulty of maintaining and updating a register regarding cloud service arrangements, because of the pace of change regarding cloud outsourcing offers</w:t>
      </w:r>
      <w:r w:rsidR="00841D0F" w:rsidRPr="007A7F80">
        <w:rPr>
          <w:sz w:val="20"/>
          <w:szCs w:val="20"/>
        </w:rPr>
        <w:t xml:space="preserve"> and the number of departments involved in the process</w:t>
      </w:r>
      <w:r w:rsidR="00A142DF" w:rsidRPr="007A7F80">
        <w:rPr>
          <w:sz w:val="20"/>
          <w:szCs w:val="20"/>
        </w:rPr>
        <w:t xml:space="preserve">. </w:t>
      </w:r>
    </w:p>
    <w:p w:rsidR="00CD7364" w:rsidRPr="007A7F80" w:rsidRDefault="00841D0F" w:rsidP="00841D0F">
      <w:pPr>
        <w:pStyle w:val="Textedesaisie"/>
        <w:rPr>
          <w:sz w:val="20"/>
          <w:szCs w:val="20"/>
        </w:rPr>
      </w:pPr>
      <w:r w:rsidRPr="007A7F80">
        <w:rPr>
          <w:sz w:val="20"/>
          <w:szCs w:val="20"/>
        </w:rPr>
        <w:t>Furthermore</w:t>
      </w:r>
      <w:r w:rsidR="00A142DF" w:rsidRPr="007A7F80">
        <w:rPr>
          <w:sz w:val="20"/>
          <w:szCs w:val="20"/>
        </w:rPr>
        <w:t xml:space="preserve">, </w:t>
      </w:r>
      <w:r w:rsidR="006221FC" w:rsidRPr="007A7F80">
        <w:rPr>
          <w:sz w:val="20"/>
          <w:szCs w:val="20"/>
        </w:rPr>
        <w:t xml:space="preserve">the FFA does not see the need of a special register for cloud outsourcing arrangements. </w:t>
      </w:r>
      <w:r w:rsidRPr="007A7F80">
        <w:rPr>
          <w:sz w:val="20"/>
          <w:szCs w:val="20"/>
        </w:rPr>
        <w:t xml:space="preserve">Cloud out-sourcing arrangements should be mentioned in the general outsourcing register/document. </w:t>
      </w:r>
    </w:p>
    <w:p w:rsidR="006221FC" w:rsidRPr="007A7F80" w:rsidRDefault="00A142DF" w:rsidP="001A1D1C">
      <w:pPr>
        <w:pStyle w:val="Textedesaisie"/>
        <w:rPr>
          <w:sz w:val="20"/>
          <w:szCs w:val="20"/>
        </w:rPr>
      </w:pPr>
      <w:r w:rsidRPr="007A7F80">
        <w:rPr>
          <w:sz w:val="20"/>
          <w:szCs w:val="20"/>
        </w:rPr>
        <w:t>Finally</w:t>
      </w:r>
      <w:r w:rsidR="00961184" w:rsidRPr="007A7F80">
        <w:rPr>
          <w:sz w:val="20"/>
          <w:szCs w:val="20"/>
        </w:rPr>
        <w:t xml:space="preserve">, the requested documents regarding the description of the services used and the data stored raise confidentiality concerns; communicate </w:t>
      </w:r>
      <w:r w:rsidRPr="007A7F80">
        <w:rPr>
          <w:sz w:val="20"/>
          <w:szCs w:val="20"/>
        </w:rPr>
        <w:t>these kinds of highly confidential information</w:t>
      </w:r>
      <w:r w:rsidR="00961184" w:rsidRPr="007A7F80">
        <w:rPr>
          <w:sz w:val="20"/>
          <w:szCs w:val="20"/>
        </w:rPr>
        <w:t xml:space="preserve"> outside the company presents a real risk.</w:t>
      </w:r>
    </w:p>
    <w:tbl>
      <w:tblPr>
        <w:tblStyle w:val="Grilledutableau"/>
        <w:tblW w:w="0" w:type="auto"/>
        <w:tblLook w:val="04A0" w:firstRow="1" w:lastRow="0" w:firstColumn="1" w:lastColumn="0" w:noHBand="0" w:noVBand="1"/>
      </w:tblPr>
      <w:tblGrid>
        <w:gridCol w:w="9628"/>
      </w:tblGrid>
      <w:tr w:rsidR="00B07B13" w:rsidRPr="007A7F80" w:rsidTr="004E6D46">
        <w:tc>
          <w:tcPr>
            <w:tcW w:w="9628" w:type="dxa"/>
            <w:shd w:val="clear" w:color="auto" w:fill="D8D8D8" w:themeFill="accent6"/>
          </w:tcPr>
          <w:p w:rsidR="00B07B13" w:rsidRPr="007A7F80" w:rsidRDefault="00B07B13" w:rsidP="00B07B13">
            <w:pPr>
              <w:pStyle w:val="Textedesaisie"/>
              <w:rPr>
                <w:bCs/>
                <w:iCs/>
                <w:sz w:val="20"/>
                <w:szCs w:val="20"/>
              </w:rPr>
            </w:pPr>
            <w:r w:rsidRPr="007A7F80">
              <w:rPr>
                <w:sz w:val="20"/>
                <w:szCs w:val="20"/>
              </w:rPr>
              <w:t xml:space="preserve">Conclusion: </w:t>
            </w:r>
            <w:r w:rsidR="000A3D48" w:rsidRPr="007A7F80">
              <w:rPr>
                <w:sz w:val="20"/>
                <w:szCs w:val="20"/>
              </w:rPr>
              <w:t xml:space="preserve">there is </w:t>
            </w:r>
            <w:r w:rsidRPr="007A7F80">
              <w:rPr>
                <w:sz w:val="20"/>
                <w:szCs w:val="20"/>
              </w:rPr>
              <w:t xml:space="preserve">no need for a special register regarding cloud outsourcing; </w:t>
            </w:r>
            <w:r w:rsidRPr="007A7F80">
              <w:rPr>
                <w:bCs/>
                <w:iCs/>
                <w:sz w:val="20"/>
                <w:szCs w:val="20"/>
              </w:rPr>
              <w:t>should there be a requirement for a separate register, i</w:t>
            </w:r>
            <w:r w:rsidRPr="007A7F80">
              <w:rPr>
                <w:sz w:val="20"/>
                <w:szCs w:val="20"/>
              </w:rPr>
              <w:t xml:space="preserve">nsurance companies </w:t>
            </w:r>
            <w:r w:rsidRPr="007A7F80">
              <w:rPr>
                <w:bCs/>
                <w:iCs/>
                <w:sz w:val="20"/>
                <w:szCs w:val="20"/>
              </w:rPr>
              <w:t>should be let free to elect the deemed appropriate mean/tool for the oversight of their cloud outsourcing arrangements and it should be limited to cloud outsourcing arrangements relating to critical or important function or activity and the information to be populated in such a register should be limited to what is strictly necessary to ensure monitoring, all other information being in any case duly recorded in the contract itself.</w:t>
            </w:r>
          </w:p>
          <w:p w:rsidR="00B07B13" w:rsidRPr="007A7F80" w:rsidRDefault="00B07B13" w:rsidP="00CD7364">
            <w:pPr>
              <w:pStyle w:val="Textedesaisie"/>
              <w:rPr>
                <w:sz w:val="20"/>
                <w:szCs w:val="20"/>
              </w:rPr>
            </w:pPr>
          </w:p>
        </w:tc>
      </w:tr>
    </w:tbl>
    <w:p w:rsidR="00B07B13" w:rsidRPr="007A7F80" w:rsidRDefault="00B07B13" w:rsidP="00EE7D77">
      <w:pPr>
        <w:pStyle w:val="Textedesaisie"/>
        <w:rPr>
          <w:color w:val="312783" w:themeColor="accent1"/>
          <w:sz w:val="20"/>
          <w:szCs w:val="20"/>
        </w:rPr>
      </w:pPr>
    </w:p>
    <w:p w:rsidR="00AF1E5D" w:rsidRPr="007A7F80" w:rsidRDefault="00910BB2" w:rsidP="000B19AC">
      <w:pPr>
        <w:pStyle w:val="Textedesaisie"/>
        <w:rPr>
          <w:color w:val="312783" w:themeColor="accent1"/>
          <w:sz w:val="20"/>
          <w:szCs w:val="20"/>
        </w:rPr>
      </w:pPr>
      <w:r w:rsidRPr="007A7F80">
        <w:rPr>
          <w:color w:val="312783" w:themeColor="accent1"/>
          <w:sz w:val="20"/>
          <w:szCs w:val="20"/>
        </w:rPr>
        <w:t>Q8 Are the documentation requirements appropriate and sufficiently clear?</w:t>
      </w:r>
    </w:p>
    <w:p w:rsidR="00910BB2" w:rsidRPr="007A7F80" w:rsidRDefault="00AF1E5D" w:rsidP="000B19AC">
      <w:pPr>
        <w:pStyle w:val="Textedesaisie"/>
        <w:rPr>
          <w:color w:val="312783" w:themeColor="accent1"/>
          <w:sz w:val="20"/>
          <w:szCs w:val="20"/>
        </w:rPr>
      </w:pPr>
      <w:r w:rsidRPr="007A7F80">
        <w:rPr>
          <w:color w:val="312783" w:themeColor="accent1"/>
          <w:sz w:val="20"/>
          <w:szCs w:val="20"/>
        </w:rPr>
        <w:t>T</w:t>
      </w:r>
      <w:r w:rsidR="00910BB2" w:rsidRPr="007A7F80">
        <w:rPr>
          <w:bCs/>
          <w:iCs/>
          <w:sz w:val="20"/>
          <w:szCs w:val="20"/>
        </w:rPr>
        <w:t>he documentation/information requirements listed under paragraph 23 appear unnecessarily stringent and burdensome, in particular:</w:t>
      </w:r>
    </w:p>
    <w:p w:rsidR="00910BB2" w:rsidRPr="007A7F80" w:rsidRDefault="00910BB2" w:rsidP="00910BB2">
      <w:pPr>
        <w:pStyle w:val="Textedesaisie"/>
        <w:numPr>
          <w:ilvl w:val="0"/>
          <w:numId w:val="20"/>
        </w:numPr>
        <w:rPr>
          <w:bCs/>
          <w:iCs/>
          <w:sz w:val="20"/>
          <w:szCs w:val="20"/>
        </w:rPr>
      </w:pPr>
      <w:r w:rsidRPr="007A7F80">
        <w:rPr>
          <w:bCs/>
          <w:iCs/>
          <w:sz w:val="20"/>
          <w:szCs w:val="20"/>
        </w:rPr>
        <w:t>23(a) duplicates the notification;</w:t>
      </w:r>
    </w:p>
    <w:p w:rsidR="00910BB2" w:rsidRPr="007A7F80" w:rsidRDefault="00910BB2" w:rsidP="00910BB2">
      <w:pPr>
        <w:pStyle w:val="Textedesaisie"/>
        <w:numPr>
          <w:ilvl w:val="0"/>
          <w:numId w:val="20"/>
        </w:numPr>
        <w:rPr>
          <w:bCs/>
          <w:iCs/>
          <w:sz w:val="20"/>
          <w:szCs w:val="20"/>
        </w:rPr>
      </w:pPr>
      <w:r w:rsidRPr="007A7F80">
        <w:rPr>
          <w:bCs/>
          <w:iCs/>
          <w:sz w:val="20"/>
          <w:szCs w:val="20"/>
        </w:rPr>
        <w:t xml:space="preserve">23(c) unnecessary, already provided for in the undertaking policy (should be the same for all arrangements </w:t>
      </w:r>
      <w:proofErr w:type="gramStart"/>
      <w:r w:rsidRPr="007A7F80">
        <w:rPr>
          <w:bCs/>
          <w:iCs/>
          <w:sz w:val="20"/>
          <w:szCs w:val="20"/>
        </w:rPr>
        <w:t>entered into</w:t>
      </w:r>
      <w:proofErr w:type="gramEnd"/>
      <w:r w:rsidRPr="007A7F80">
        <w:rPr>
          <w:bCs/>
          <w:iCs/>
          <w:sz w:val="20"/>
          <w:szCs w:val="20"/>
        </w:rPr>
        <w:t xml:space="preserve"> by a given undertaking);</w:t>
      </w:r>
    </w:p>
    <w:p w:rsidR="00910BB2" w:rsidRPr="007A7F80" w:rsidRDefault="00910BB2" w:rsidP="00910BB2">
      <w:pPr>
        <w:pStyle w:val="Textedesaisie"/>
        <w:numPr>
          <w:ilvl w:val="0"/>
          <w:numId w:val="20"/>
        </w:numPr>
        <w:rPr>
          <w:bCs/>
          <w:iCs/>
          <w:sz w:val="20"/>
          <w:szCs w:val="20"/>
        </w:rPr>
      </w:pPr>
      <w:r w:rsidRPr="007A7F80">
        <w:rPr>
          <w:bCs/>
          <w:iCs/>
          <w:sz w:val="20"/>
          <w:szCs w:val="20"/>
        </w:rPr>
        <w:t>23(d) interest of having estimate cost in the register unclear;</w:t>
      </w:r>
    </w:p>
    <w:p w:rsidR="00910BB2" w:rsidRPr="007A7F80" w:rsidRDefault="00910BB2" w:rsidP="00910BB2">
      <w:pPr>
        <w:pStyle w:val="Textedesaisie"/>
        <w:numPr>
          <w:ilvl w:val="0"/>
          <w:numId w:val="20"/>
        </w:numPr>
        <w:rPr>
          <w:bCs/>
          <w:iCs/>
          <w:sz w:val="20"/>
          <w:szCs w:val="20"/>
        </w:rPr>
      </w:pPr>
      <w:r w:rsidRPr="007A7F80">
        <w:rPr>
          <w:bCs/>
          <w:iCs/>
          <w:sz w:val="20"/>
          <w:szCs w:val="20"/>
        </w:rPr>
        <w:t>23(f) the mentions re</w:t>
      </w:r>
      <w:r w:rsidR="00200E95" w:rsidRPr="007A7F80">
        <w:rPr>
          <w:bCs/>
          <w:iCs/>
          <w:sz w:val="20"/>
          <w:szCs w:val="20"/>
        </w:rPr>
        <w:t>garding</w:t>
      </w:r>
      <w:r w:rsidRPr="007A7F80">
        <w:rPr>
          <w:bCs/>
          <w:iCs/>
          <w:sz w:val="20"/>
          <w:szCs w:val="20"/>
        </w:rPr>
        <w:t xml:space="preserve"> sub outsourc</w:t>
      </w:r>
      <w:r w:rsidR="00200E95" w:rsidRPr="007A7F80">
        <w:rPr>
          <w:bCs/>
          <w:iCs/>
          <w:sz w:val="20"/>
          <w:szCs w:val="20"/>
        </w:rPr>
        <w:t>ers</w:t>
      </w:r>
      <w:r w:rsidRPr="007A7F80">
        <w:rPr>
          <w:bCs/>
          <w:iCs/>
          <w:sz w:val="20"/>
          <w:szCs w:val="20"/>
        </w:rPr>
        <w:t xml:space="preserve"> should be incorporated in the contract itself not in a register;</w:t>
      </w:r>
    </w:p>
    <w:p w:rsidR="00910BB2" w:rsidRPr="007A7F80" w:rsidRDefault="00910BB2" w:rsidP="00910BB2">
      <w:pPr>
        <w:pStyle w:val="Textedesaisie"/>
        <w:numPr>
          <w:ilvl w:val="0"/>
          <w:numId w:val="20"/>
        </w:numPr>
        <w:rPr>
          <w:bCs/>
          <w:iCs/>
          <w:sz w:val="20"/>
          <w:szCs w:val="20"/>
        </w:rPr>
      </w:pPr>
      <w:r w:rsidRPr="007A7F80">
        <w:rPr>
          <w:bCs/>
          <w:iCs/>
          <w:sz w:val="20"/>
          <w:szCs w:val="20"/>
        </w:rPr>
        <w:t>At paragraph 23(g), please clarify what is meant by “time critical”.</w:t>
      </w:r>
    </w:p>
    <w:p w:rsidR="00910BB2" w:rsidRPr="007A7F80" w:rsidRDefault="00910BB2" w:rsidP="00910BB2">
      <w:pPr>
        <w:pStyle w:val="Textedesaisie"/>
        <w:numPr>
          <w:ilvl w:val="0"/>
          <w:numId w:val="20"/>
        </w:numPr>
        <w:rPr>
          <w:bCs/>
          <w:iCs/>
          <w:sz w:val="20"/>
          <w:szCs w:val="20"/>
        </w:rPr>
      </w:pPr>
      <w:r w:rsidRPr="007A7F80">
        <w:rPr>
          <w:bCs/>
          <w:iCs/>
          <w:sz w:val="20"/>
          <w:szCs w:val="20"/>
        </w:rPr>
        <w:t>As regards paragraph 23(</w:t>
      </w:r>
      <w:proofErr w:type="spellStart"/>
      <w:r w:rsidRPr="007A7F80">
        <w:rPr>
          <w:bCs/>
          <w:iCs/>
          <w:sz w:val="20"/>
          <w:szCs w:val="20"/>
        </w:rPr>
        <w:t>i</w:t>
      </w:r>
      <w:proofErr w:type="spellEnd"/>
      <w:r w:rsidRPr="007A7F80">
        <w:rPr>
          <w:bCs/>
          <w:iCs/>
          <w:sz w:val="20"/>
          <w:szCs w:val="20"/>
        </w:rPr>
        <w:t>), the required level of detail regarding the description of the undertaking monitoring of the cloud outsourced activities is too specific. Considering that the number of resources and their skills may vary from time to time, it would be too burdensome to regularly update the register in that regard.</w:t>
      </w:r>
    </w:p>
    <w:p w:rsidR="00910BB2" w:rsidRPr="007A7F80" w:rsidRDefault="00910BB2" w:rsidP="00EE7D77">
      <w:pPr>
        <w:pStyle w:val="Textedesaisie"/>
        <w:rPr>
          <w:color w:val="312783" w:themeColor="accent1"/>
          <w:sz w:val="20"/>
          <w:szCs w:val="20"/>
        </w:rPr>
      </w:pPr>
    </w:p>
    <w:p w:rsidR="00B850ED" w:rsidRPr="007A7F80" w:rsidRDefault="00C016D7" w:rsidP="00EE7D77">
      <w:pPr>
        <w:pStyle w:val="Textedesaisie"/>
        <w:rPr>
          <w:color w:val="312783" w:themeColor="accent1"/>
          <w:sz w:val="20"/>
          <w:szCs w:val="20"/>
        </w:rPr>
      </w:pPr>
      <w:r w:rsidRPr="007A7F80">
        <w:rPr>
          <w:color w:val="312783" w:themeColor="accent1"/>
          <w:sz w:val="20"/>
          <w:szCs w:val="20"/>
        </w:rPr>
        <w:t xml:space="preserve">Q9 </w:t>
      </w:r>
      <w:proofErr w:type="gramStart"/>
      <w:r w:rsidR="00EE7D77" w:rsidRPr="007A7F80">
        <w:rPr>
          <w:color w:val="312783" w:themeColor="accent1"/>
          <w:sz w:val="20"/>
          <w:szCs w:val="20"/>
        </w:rPr>
        <w:t>Taking into account</w:t>
      </w:r>
      <w:proofErr w:type="gramEnd"/>
      <w:r w:rsidR="00EE7D77" w:rsidRPr="007A7F80">
        <w:rPr>
          <w:color w:val="312783" w:themeColor="accent1"/>
          <w:sz w:val="20"/>
          <w:szCs w:val="20"/>
        </w:rPr>
        <w:t xml:space="preserve"> the specific nature of cloud services, it has been opted to use the concept of ‘materiality’ to clarify, in this context, the concept of a ‘critical or important operational function’. Is this approach appropriate and sufficiently</w:t>
      </w:r>
      <w:r w:rsidR="00E364CC" w:rsidRPr="007A7F80">
        <w:rPr>
          <w:color w:val="312783" w:themeColor="accent1"/>
          <w:sz w:val="20"/>
          <w:szCs w:val="20"/>
        </w:rPr>
        <w:t xml:space="preserve"> </w:t>
      </w:r>
      <w:r w:rsidR="00EE7D77" w:rsidRPr="007A7F80">
        <w:rPr>
          <w:color w:val="312783" w:themeColor="accent1"/>
          <w:sz w:val="20"/>
          <w:szCs w:val="20"/>
        </w:rPr>
        <w:t>clear?</w:t>
      </w:r>
    </w:p>
    <w:p w:rsidR="00EE7D77" w:rsidRPr="007A7F80" w:rsidRDefault="00EE7D77" w:rsidP="00EE7D77">
      <w:pPr>
        <w:pStyle w:val="Textedesaisie"/>
        <w:rPr>
          <w:sz w:val="20"/>
          <w:szCs w:val="20"/>
        </w:rPr>
      </w:pPr>
      <w:r w:rsidRPr="007A7F80">
        <w:rPr>
          <w:sz w:val="20"/>
          <w:szCs w:val="20"/>
        </w:rPr>
        <w:t xml:space="preserve">No, as explained above, EIOPA should absolutely delete this new confusing concept and stay with Solvency 2 concept regarding important or critical functions or activities. </w:t>
      </w:r>
    </w:p>
    <w:p w:rsidR="00EE7D77" w:rsidRPr="007A7F80" w:rsidRDefault="00EE7D77" w:rsidP="00EE7D77">
      <w:pPr>
        <w:pStyle w:val="Textedesaisie"/>
        <w:rPr>
          <w:sz w:val="20"/>
          <w:szCs w:val="20"/>
        </w:rPr>
      </w:pPr>
    </w:p>
    <w:p w:rsidR="000B19AC" w:rsidRPr="007A7F80" w:rsidRDefault="00866E1A" w:rsidP="00EE7D77">
      <w:pPr>
        <w:pStyle w:val="Textedesaisie"/>
        <w:rPr>
          <w:color w:val="312783" w:themeColor="accent1"/>
          <w:sz w:val="20"/>
          <w:szCs w:val="20"/>
        </w:rPr>
      </w:pPr>
      <w:r w:rsidRPr="007A7F80">
        <w:rPr>
          <w:color w:val="312783" w:themeColor="accent1"/>
          <w:sz w:val="20"/>
          <w:szCs w:val="20"/>
        </w:rPr>
        <w:t>Q10 Is the content of Guideline on risk assessment of cloud outsourcing appropriate</w:t>
      </w:r>
      <w:r w:rsidR="006044E4">
        <w:rPr>
          <w:color w:val="312783" w:themeColor="accent1"/>
          <w:sz w:val="20"/>
          <w:szCs w:val="20"/>
        </w:rPr>
        <w:t xml:space="preserve"> </w:t>
      </w:r>
      <w:r w:rsidRPr="007A7F80">
        <w:rPr>
          <w:color w:val="312783" w:themeColor="accent1"/>
          <w:sz w:val="20"/>
          <w:szCs w:val="20"/>
        </w:rPr>
        <w:t>and sufficiently clear?</w:t>
      </w:r>
    </w:p>
    <w:p w:rsidR="0010270F" w:rsidRPr="007A7F80" w:rsidRDefault="0010270F" w:rsidP="000B19AC">
      <w:pPr>
        <w:pStyle w:val="Textedesaisie"/>
        <w:numPr>
          <w:ilvl w:val="0"/>
          <w:numId w:val="22"/>
        </w:numPr>
        <w:rPr>
          <w:bCs/>
          <w:iCs/>
          <w:sz w:val="20"/>
          <w:szCs w:val="20"/>
        </w:rPr>
      </w:pPr>
      <w:r w:rsidRPr="007A7F80">
        <w:rPr>
          <w:bCs/>
          <w:iCs/>
          <w:sz w:val="20"/>
          <w:szCs w:val="20"/>
        </w:rPr>
        <w:t xml:space="preserve">We understand that Paragraph 28 apply to all cloud outsourcing, 29 only for material outsourcing, what about paragraph </w:t>
      </w:r>
      <w:proofErr w:type="gramStart"/>
      <w:r w:rsidRPr="007A7F80">
        <w:rPr>
          <w:bCs/>
          <w:iCs/>
          <w:sz w:val="20"/>
          <w:szCs w:val="20"/>
        </w:rPr>
        <w:t>30 ?</w:t>
      </w:r>
      <w:proofErr w:type="gramEnd"/>
    </w:p>
    <w:p w:rsidR="000B19AC" w:rsidRPr="007A7F80" w:rsidRDefault="000B19AC" w:rsidP="000B19AC">
      <w:pPr>
        <w:pStyle w:val="Textedesaisie"/>
        <w:numPr>
          <w:ilvl w:val="0"/>
          <w:numId w:val="22"/>
        </w:numPr>
        <w:rPr>
          <w:bCs/>
          <w:iCs/>
          <w:sz w:val="20"/>
          <w:szCs w:val="20"/>
        </w:rPr>
      </w:pPr>
      <w:r w:rsidRPr="007A7F80">
        <w:rPr>
          <w:bCs/>
          <w:iCs/>
          <w:sz w:val="20"/>
          <w:szCs w:val="20"/>
        </w:rPr>
        <w:t>Please provide examples of “high-severity, operational risks events” in the context of cloud outsourcing, as referred to in paragraph 28.</w:t>
      </w:r>
    </w:p>
    <w:p w:rsidR="000B19AC" w:rsidRPr="007A7F80" w:rsidRDefault="000B19AC" w:rsidP="000B19AC">
      <w:pPr>
        <w:pStyle w:val="Textedesaisie"/>
        <w:numPr>
          <w:ilvl w:val="0"/>
          <w:numId w:val="22"/>
        </w:numPr>
        <w:rPr>
          <w:bCs/>
          <w:iCs/>
          <w:sz w:val="20"/>
          <w:szCs w:val="20"/>
        </w:rPr>
      </w:pPr>
      <w:r w:rsidRPr="007A7F80">
        <w:rPr>
          <w:bCs/>
          <w:iCs/>
          <w:sz w:val="20"/>
          <w:szCs w:val="20"/>
        </w:rPr>
        <w:t>At paragraph 30(g)(</w:t>
      </w:r>
      <w:proofErr w:type="spellStart"/>
      <w:r w:rsidRPr="007A7F80">
        <w:rPr>
          <w:bCs/>
          <w:iCs/>
          <w:sz w:val="20"/>
          <w:szCs w:val="20"/>
        </w:rPr>
        <w:t>i</w:t>
      </w:r>
      <w:proofErr w:type="spellEnd"/>
      <w:r w:rsidRPr="007A7F80">
        <w:rPr>
          <w:bCs/>
          <w:iCs/>
          <w:sz w:val="20"/>
          <w:szCs w:val="20"/>
        </w:rPr>
        <w:t xml:space="preserve">), “the laws in force” is too broad, there should be limitative list of laws to be </w:t>
      </w:r>
      <w:proofErr w:type="gramStart"/>
      <w:r w:rsidRPr="007A7F80">
        <w:rPr>
          <w:bCs/>
          <w:iCs/>
          <w:sz w:val="20"/>
          <w:szCs w:val="20"/>
        </w:rPr>
        <w:t>taken into account</w:t>
      </w:r>
      <w:proofErr w:type="gramEnd"/>
      <w:r w:rsidRPr="007A7F80">
        <w:rPr>
          <w:bCs/>
          <w:iCs/>
          <w:sz w:val="20"/>
          <w:szCs w:val="20"/>
        </w:rPr>
        <w:t xml:space="preserve"> within the risk assessment (e.g. laws on data protection).</w:t>
      </w:r>
    </w:p>
    <w:p w:rsidR="000B19AC" w:rsidRPr="007A7F80" w:rsidRDefault="000B19AC" w:rsidP="000B19AC">
      <w:pPr>
        <w:pStyle w:val="Textedesaisie"/>
        <w:numPr>
          <w:ilvl w:val="0"/>
          <w:numId w:val="22"/>
        </w:numPr>
        <w:rPr>
          <w:bCs/>
          <w:iCs/>
          <w:sz w:val="20"/>
          <w:szCs w:val="20"/>
        </w:rPr>
      </w:pPr>
      <w:r w:rsidRPr="007A7F80">
        <w:rPr>
          <w:bCs/>
          <w:iCs/>
          <w:sz w:val="20"/>
          <w:szCs w:val="20"/>
        </w:rPr>
        <w:t xml:space="preserve">The risk assessment methodology should not so differ, subject to the very specificities of cloud services, from that applicable to the outsourcing of </w:t>
      </w:r>
      <w:r w:rsidR="00200E95" w:rsidRPr="007A7F80">
        <w:rPr>
          <w:bCs/>
          <w:iCs/>
          <w:sz w:val="20"/>
          <w:szCs w:val="20"/>
        </w:rPr>
        <w:t>important or critical functions or activities</w:t>
      </w:r>
      <w:r w:rsidRPr="007A7F80">
        <w:rPr>
          <w:bCs/>
          <w:iCs/>
          <w:sz w:val="20"/>
          <w:szCs w:val="20"/>
        </w:rPr>
        <w:t>.</w:t>
      </w:r>
    </w:p>
    <w:p w:rsidR="0010270F" w:rsidRPr="007A7F80" w:rsidRDefault="00200E95" w:rsidP="000B19AC">
      <w:pPr>
        <w:pStyle w:val="Textedesaisie"/>
        <w:numPr>
          <w:ilvl w:val="0"/>
          <w:numId w:val="22"/>
        </w:numPr>
        <w:rPr>
          <w:bCs/>
          <w:iCs/>
          <w:sz w:val="20"/>
          <w:szCs w:val="20"/>
        </w:rPr>
      </w:pPr>
      <w:r w:rsidRPr="007A7F80">
        <w:rPr>
          <w:bCs/>
          <w:iCs/>
          <w:sz w:val="20"/>
          <w:szCs w:val="20"/>
        </w:rPr>
        <w:t xml:space="preserve">This Guideline should also </w:t>
      </w:r>
      <w:proofErr w:type="gramStart"/>
      <w:r w:rsidRPr="007A7F80">
        <w:rPr>
          <w:bCs/>
          <w:iCs/>
          <w:sz w:val="20"/>
          <w:szCs w:val="20"/>
        </w:rPr>
        <w:t>take into account</w:t>
      </w:r>
      <w:proofErr w:type="gramEnd"/>
      <w:r w:rsidRPr="007A7F80">
        <w:rPr>
          <w:bCs/>
          <w:iCs/>
          <w:sz w:val="20"/>
          <w:szCs w:val="20"/>
        </w:rPr>
        <w:t xml:space="preserve"> the impact of events affecting the cloud service provider.</w:t>
      </w:r>
    </w:p>
    <w:tbl>
      <w:tblPr>
        <w:tblStyle w:val="Grilledutableau"/>
        <w:tblW w:w="0" w:type="auto"/>
        <w:tblLook w:val="04A0" w:firstRow="1" w:lastRow="0" w:firstColumn="1" w:lastColumn="0" w:noHBand="0" w:noVBand="1"/>
      </w:tblPr>
      <w:tblGrid>
        <w:gridCol w:w="9628"/>
      </w:tblGrid>
      <w:tr w:rsidR="000B19AC" w:rsidRPr="007A7F80" w:rsidTr="004E6D46">
        <w:tc>
          <w:tcPr>
            <w:tcW w:w="9628" w:type="dxa"/>
            <w:shd w:val="clear" w:color="auto" w:fill="D8D8D8" w:themeFill="accent6"/>
          </w:tcPr>
          <w:p w:rsidR="000B19AC" w:rsidRPr="007A7F80" w:rsidRDefault="000B19AC" w:rsidP="000B19AC">
            <w:pPr>
              <w:pStyle w:val="Textedesaisie"/>
              <w:rPr>
                <w:sz w:val="20"/>
                <w:szCs w:val="20"/>
              </w:rPr>
            </w:pPr>
            <w:r w:rsidRPr="007A7F80">
              <w:rPr>
                <w:sz w:val="20"/>
                <w:szCs w:val="20"/>
              </w:rPr>
              <w:t>Conclusion: risk assessment regarding cloud outsourcing arrangements is already covered by the risk assessment conducted as part of the general outsourcing arrangements. For the FFA the proposed list of elements to be verified by the insurance company should be indicative and should not be binding.</w:t>
            </w:r>
          </w:p>
          <w:p w:rsidR="000B19AC" w:rsidRPr="007A7F80" w:rsidRDefault="000B19AC" w:rsidP="00EE7D77">
            <w:pPr>
              <w:pStyle w:val="Textedesaisie"/>
              <w:rPr>
                <w:sz w:val="20"/>
                <w:szCs w:val="20"/>
              </w:rPr>
            </w:pPr>
          </w:p>
        </w:tc>
      </w:tr>
    </w:tbl>
    <w:p w:rsidR="00113338" w:rsidRPr="007A7F80" w:rsidRDefault="00113338" w:rsidP="00EE7D77">
      <w:pPr>
        <w:pStyle w:val="Textedesaisie"/>
        <w:rPr>
          <w:sz w:val="20"/>
          <w:szCs w:val="20"/>
        </w:rPr>
      </w:pPr>
    </w:p>
    <w:p w:rsidR="00113338" w:rsidRPr="007A7F80" w:rsidRDefault="00113338" w:rsidP="00113338">
      <w:pPr>
        <w:pStyle w:val="Textedesaisie"/>
        <w:rPr>
          <w:color w:val="312783" w:themeColor="accent1"/>
          <w:sz w:val="20"/>
          <w:szCs w:val="20"/>
        </w:rPr>
      </w:pPr>
      <w:r w:rsidRPr="007A7F80">
        <w:rPr>
          <w:color w:val="312783" w:themeColor="accent1"/>
          <w:sz w:val="20"/>
          <w:szCs w:val="20"/>
        </w:rPr>
        <w:t>Q11 Are the contractual requirements for material outsourcing appropriate and</w:t>
      </w:r>
    </w:p>
    <w:p w:rsidR="00113338" w:rsidRPr="007A7F80" w:rsidRDefault="00113338" w:rsidP="0072530C">
      <w:pPr>
        <w:pStyle w:val="Textedesaisie"/>
        <w:rPr>
          <w:color w:val="312783" w:themeColor="accent1"/>
          <w:sz w:val="20"/>
          <w:szCs w:val="20"/>
        </w:rPr>
      </w:pPr>
      <w:r w:rsidRPr="007A7F80">
        <w:rPr>
          <w:color w:val="312783" w:themeColor="accent1"/>
          <w:sz w:val="20"/>
          <w:szCs w:val="20"/>
        </w:rPr>
        <w:t xml:space="preserve">sufficiently clear? </w:t>
      </w:r>
    </w:p>
    <w:p w:rsidR="00840EBA" w:rsidRPr="007A7F80" w:rsidRDefault="00A802F6" w:rsidP="00113338">
      <w:pPr>
        <w:pStyle w:val="Textedesaisie"/>
        <w:rPr>
          <w:sz w:val="20"/>
          <w:szCs w:val="20"/>
        </w:rPr>
      </w:pPr>
      <w:proofErr w:type="gramStart"/>
      <w:r w:rsidRPr="007A7F80">
        <w:rPr>
          <w:sz w:val="20"/>
          <w:szCs w:val="20"/>
        </w:rPr>
        <w:t>Generally speaking, the</w:t>
      </w:r>
      <w:proofErr w:type="gramEnd"/>
      <w:r w:rsidRPr="007A7F80">
        <w:rPr>
          <w:sz w:val="20"/>
          <w:szCs w:val="20"/>
        </w:rPr>
        <w:t xml:space="preserve"> FFA would like to stress that </w:t>
      </w:r>
      <w:r w:rsidRPr="007A7F80">
        <w:rPr>
          <w:bCs/>
          <w:iCs/>
          <w:sz w:val="20"/>
          <w:szCs w:val="20"/>
        </w:rPr>
        <w:t>in most cases, the service provider offers a standardized and packaged offer, which is identical for all its clients, and which can hardly be adapted and customized for a specific client. Furthermore, a</w:t>
      </w:r>
      <w:r w:rsidR="005474BD" w:rsidRPr="007A7F80">
        <w:rPr>
          <w:sz w:val="20"/>
          <w:szCs w:val="20"/>
        </w:rPr>
        <w:t xml:space="preserve">rt. 274 Paragraph 4 </w:t>
      </w:r>
      <w:r w:rsidR="00840EBA" w:rsidRPr="007A7F80">
        <w:rPr>
          <w:sz w:val="20"/>
          <w:szCs w:val="20"/>
        </w:rPr>
        <w:t>delegated act 2015/35 regarding general su</w:t>
      </w:r>
      <w:r w:rsidR="00FC51A9" w:rsidRPr="007A7F80">
        <w:rPr>
          <w:sz w:val="20"/>
          <w:szCs w:val="20"/>
        </w:rPr>
        <w:t>b</w:t>
      </w:r>
      <w:r w:rsidR="00840EBA" w:rsidRPr="007A7F80">
        <w:rPr>
          <w:sz w:val="20"/>
          <w:szCs w:val="20"/>
        </w:rPr>
        <w:t xml:space="preserve">-outsourcing already </w:t>
      </w:r>
      <w:r w:rsidR="005474BD" w:rsidRPr="007A7F80">
        <w:rPr>
          <w:sz w:val="20"/>
          <w:szCs w:val="20"/>
        </w:rPr>
        <w:t>describes</w:t>
      </w:r>
      <w:r w:rsidR="000411D1" w:rsidRPr="007A7F80">
        <w:rPr>
          <w:sz w:val="20"/>
          <w:szCs w:val="20"/>
        </w:rPr>
        <w:t xml:space="preserve"> (only for outsourcing of critical or important operational functions or activities) </w:t>
      </w:r>
      <w:r w:rsidR="005474BD" w:rsidRPr="007A7F80">
        <w:rPr>
          <w:sz w:val="20"/>
          <w:szCs w:val="20"/>
        </w:rPr>
        <w:t xml:space="preserve">the content of the written agreement between the undertaking and the service provider in exhaustive detail. Nonetheless, Guideline 10 (Paragraph 35) sets out </w:t>
      </w:r>
      <w:proofErr w:type="gramStart"/>
      <w:r w:rsidR="005474BD" w:rsidRPr="007A7F80">
        <w:rPr>
          <w:sz w:val="20"/>
          <w:szCs w:val="20"/>
        </w:rPr>
        <w:t>a number of</w:t>
      </w:r>
      <w:proofErr w:type="gramEnd"/>
      <w:r w:rsidR="005474BD" w:rsidRPr="007A7F80">
        <w:rPr>
          <w:sz w:val="20"/>
          <w:szCs w:val="20"/>
        </w:rPr>
        <w:t xml:space="preserve"> new requirements (“in addition to the set of requirements defined by Article 274…”). We see no benefit in the additional requirements. </w:t>
      </w:r>
      <w:r w:rsidRPr="007A7F80">
        <w:rPr>
          <w:sz w:val="20"/>
          <w:szCs w:val="20"/>
        </w:rPr>
        <w:t>Finally, to our knowledge, EBA Guidelines do not contain any list of contractual requirements…</w:t>
      </w:r>
    </w:p>
    <w:p w:rsidR="00526884" w:rsidRPr="007A7F80" w:rsidRDefault="00526884" w:rsidP="00113338">
      <w:pPr>
        <w:pStyle w:val="Textedesaisie"/>
        <w:rPr>
          <w:sz w:val="20"/>
          <w:szCs w:val="20"/>
        </w:rPr>
      </w:pPr>
    </w:p>
    <w:p w:rsidR="00526884" w:rsidRPr="007A7F80" w:rsidRDefault="00526884" w:rsidP="00117AB5">
      <w:pPr>
        <w:pStyle w:val="Textedesaisie"/>
        <w:numPr>
          <w:ilvl w:val="0"/>
          <w:numId w:val="23"/>
        </w:numPr>
        <w:rPr>
          <w:sz w:val="20"/>
          <w:szCs w:val="20"/>
        </w:rPr>
      </w:pPr>
      <w:r w:rsidRPr="007A7F80">
        <w:rPr>
          <w:sz w:val="20"/>
          <w:szCs w:val="20"/>
        </w:rPr>
        <w:t xml:space="preserve">Regarding </w:t>
      </w:r>
      <w:r w:rsidR="00D563DF" w:rsidRPr="007A7F80">
        <w:rPr>
          <w:sz w:val="20"/>
          <w:szCs w:val="20"/>
        </w:rPr>
        <w:t>35. The use of such terms as “at least” is confusing.</w:t>
      </w:r>
    </w:p>
    <w:p w:rsidR="00FC51A9" w:rsidRPr="007A7F80" w:rsidRDefault="00FC51A9" w:rsidP="00117AB5">
      <w:pPr>
        <w:pStyle w:val="Textedesaisie"/>
        <w:numPr>
          <w:ilvl w:val="0"/>
          <w:numId w:val="23"/>
        </w:numPr>
        <w:rPr>
          <w:sz w:val="20"/>
          <w:szCs w:val="20"/>
        </w:rPr>
      </w:pPr>
      <w:r w:rsidRPr="007A7F80">
        <w:rPr>
          <w:sz w:val="20"/>
          <w:szCs w:val="20"/>
        </w:rPr>
        <w:t>Regarding 35.d (“</w:t>
      </w:r>
      <w:r w:rsidRPr="007A7F80">
        <w:rPr>
          <w:i/>
          <w:sz w:val="20"/>
          <w:szCs w:val="20"/>
        </w:rPr>
        <w:t>the parties’ financial obligations including the cloud services pricing model</w:t>
      </w:r>
      <w:r w:rsidRPr="007A7F80">
        <w:rPr>
          <w:sz w:val="20"/>
          <w:szCs w:val="20"/>
        </w:rPr>
        <w:t xml:space="preserve">”) could be a problem: currently, major cloud service providers only propose on-line price models; </w:t>
      </w:r>
      <w:proofErr w:type="gramStart"/>
      <w:r w:rsidRPr="007A7F80">
        <w:rPr>
          <w:sz w:val="20"/>
          <w:szCs w:val="20"/>
        </w:rPr>
        <w:t>therefore</w:t>
      </w:r>
      <w:proofErr w:type="gramEnd"/>
      <w:r w:rsidRPr="007A7F80">
        <w:rPr>
          <w:sz w:val="20"/>
          <w:szCs w:val="20"/>
        </w:rPr>
        <w:t xml:space="preserve"> the guidelines should absolutely refer to the price model available on-line.</w:t>
      </w:r>
    </w:p>
    <w:p w:rsidR="00D563DF" w:rsidRPr="007A7F80" w:rsidRDefault="00D563DF" w:rsidP="00117AB5">
      <w:pPr>
        <w:pStyle w:val="Textedesaisie"/>
        <w:numPr>
          <w:ilvl w:val="0"/>
          <w:numId w:val="23"/>
        </w:numPr>
        <w:rPr>
          <w:sz w:val="20"/>
          <w:szCs w:val="20"/>
        </w:rPr>
      </w:pPr>
      <w:r w:rsidRPr="007A7F80">
        <w:rPr>
          <w:sz w:val="20"/>
          <w:szCs w:val="20"/>
        </w:rPr>
        <w:t>35.i monitoring cloud service provider cannot be “on an ongoing basis”, the term “regular” should be preferred.</w:t>
      </w:r>
    </w:p>
    <w:p w:rsidR="00117AB5" w:rsidRPr="007A7F80" w:rsidRDefault="00117AB5" w:rsidP="00117AB5">
      <w:pPr>
        <w:pStyle w:val="Textedesaisie"/>
        <w:numPr>
          <w:ilvl w:val="0"/>
          <w:numId w:val="23"/>
        </w:numPr>
        <w:rPr>
          <w:sz w:val="20"/>
          <w:szCs w:val="20"/>
        </w:rPr>
      </w:pPr>
      <w:r w:rsidRPr="007A7F80">
        <w:rPr>
          <w:bCs/>
          <w:iCs/>
          <w:sz w:val="20"/>
          <w:szCs w:val="20"/>
        </w:rPr>
        <w:t>At paragraph 35</w:t>
      </w:r>
      <w:r w:rsidR="00D563DF" w:rsidRPr="007A7F80">
        <w:rPr>
          <w:bCs/>
          <w:iCs/>
          <w:sz w:val="20"/>
          <w:szCs w:val="20"/>
        </w:rPr>
        <w:t xml:space="preserve"> </w:t>
      </w:r>
      <w:r w:rsidRPr="007A7F80">
        <w:rPr>
          <w:bCs/>
          <w:iCs/>
          <w:sz w:val="20"/>
          <w:szCs w:val="20"/>
        </w:rPr>
        <w:t>j, please provide examples of quantitative and qualitative performance targets that are directly measurable by the undertaking.</w:t>
      </w:r>
    </w:p>
    <w:p w:rsidR="00113338" w:rsidRPr="007A7F80" w:rsidRDefault="00840EBA" w:rsidP="00117AB5">
      <w:pPr>
        <w:pStyle w:val="Textedesaisie"/>
        <w:numPr>
          <w:ilvl w:val="0"/>
          <w:numId w:val="23"/>
        </w:numPr>
        <w:rPr>
          <w:sz w:val="20"/>
          <w:szCs w:val="20"/>
        </w:rPr>
      </w:pPr>
      <w:r w:rsidRPr="007A7F80">
        <w:rPr>
          <w:sz w:val="20"/>
          <w:szCs w:val="20"/>
        </w:rPr>
        <w:t>Regarding 35.l of the guidelines</w:t>
      </w:r>
      <w:r w:rsidR="00FC51A9" w:rsidRPr="007A7F80">
        <w:rPr>
          <w:sz w:val="20"/>
          <w:szCs w:val="20"/>
        </w:rPr>
        <w:t xml:space="preserve"> (“</w:t>
      </w:r>
      <w:r w:rsidR="00FC51A9" w:rsidRPr="007A7F80">
        <w:rPr>
          <w:i/>
          <w:sz w:val="20"/>
          <w:szCs w:val="20"/>
        </w:rPr>
        <w:t>whether the cloud service provider should take mandatory insurance against certain risks and, if applicable, the level of insurance cover requested</w:t>
      </w:r>
      <w:r w:rsidR="00FC51A9" w:rsidRPr="007A7F80">
        <w:rPr>
          <w:sz w:val="20"/>
          <w:szCs w:val="20"/>
        </w:rPr>
        <w:t>”)</w:t>
      </w:r>
      <w:r w:rsidRPr="007A7F80">
        <w:rPr>
          <w:sz w:val="20"/>
          <w:szCs w:val="20"/>
        </w:rPr>
        <w:t xml:space="preserve"> f</w:t>
      </w:r>
      <w:r w:rsidR="005474BD" w:rsidRPr="007A7F80">
        <w:rPr>
          <w:sz w:val="20"/>
          <w:szCs w:val="20"/>
        </w:rPr>
        <w:t>or instance, it is up to the contractual parties to consider insurance coverage for the outsourced activities and whether this issue should be addressed in the outsourcing agreement.</w:t>
      </w:r>
      <w:r w:rsidR="00FC51A9" w:rsidRPr="007A7F80">
        <w:rPr>
          <w:sz w:val="20"/>
          <w:szCs w:val="20"/>
        </w:rPr>
        <w:t xml:space="preserve"> This should remain so…</w:t>
      </w:r>
    </w:p>
    <w:p w:rsidR="00D563DF" w:rsidRPr="007A7F80" w:rsidRDefault="00D563DF" w:rsidP="00117AB5">
      <w:pPr>
        <w:pStyle w:val="Textedesaisie"/>
        <w:numPr>
          <w:ilvl w:val="0"/>
          <w:numId w:val="23"/>
        </w:numPr>
        <w:rPr>
          <w:sz w:val="20"/>
          <w:szCs w:val="20"/>
        </w:rPr>
      </w:pPr>
      <w:r w:rsidRPr="007A7F80">
        <w:rPr>
          <w:sz w:val="20"/>
          <w:szCs w:val="20"/>
        </w:rPr>
        <w:t>Regarding 35.n: this provision will be difficult to apply, in case of bankruptcy the treatment of contractual debts and credit depends on legal provisions</w:t>
      </w:r>
      <w:r w:rsidR="00591B08" w:rsidRPr="007A7F80">
        <w:rPr>
          <w:sz w:val="20"/>
          <w:szCs w:val="20"/>
        </w:rPr>
        <w:t xml:space="preserve"> or on liquidator/court administrator’s decision.</w:t>
      </w:r>
      <w:r w:rsidRPr="007A7F80">
        <w:rPr>
          <w:sz w:val="20"/>
          <w:szCs w:val="20"/>
        </w:rPr>
        <w:t xml:space="preserve"> </w:t>
      </w:r>
    </w:p>
    <w:p w:rsidR="00396757" w:rsidRPr="007A7F80" w:rsidRDefault="00396757" w:rsidP="00396757">
      <w:pPr>
        <w:pStyle w:val="Textedesaisie"/>
        <w:rPr>
          <w:bCs/>
          <w:iCs/>
          <w:sz w:val="20"/>
          <w:szCs w:val="20"/>
        </w:rPr>
      </w:pPr>
    </w:p>
    <w:tbl>
      <w:tblPr>
        <w:tblStyle w:val="Grilledutableau"/>
        <w:tblW w:w="0" w:type="auto"/>
        <w:tblLook w:val="04A0" w:firstRow="1" w:lastRow="0" w:firstColumn="1" w:lastColumn="0" w:noHBand="0" w:noVBand="1"/>
      </w:tblPr>
      <w:tblGrid>
        <w:gridCol w:w="9628"/>
      </w:tblGrid>
      <w:tr w:rsidR="00117AB5" w:rsidRPr="007A7F80" w:rsidTr="004E6D46">
        <w:tc>
          <w:tcPr>
            <w:tcW w:w="9628" w:type="dxa"/>
            <w:shd w:val="clear" w:color="auto" w:fill="D8D8D8" w:themeFill="accent6"/>
          </w:tcPr>
          <w:p w:rsidR="00E364CC" w:rsidRPr="007A7F80" w:rsidRDefault="00117AB5" w:rsidP="00117AB5">
            <w:pPr>
              <w:pStyle w:val="Textedesaisie"/>
              <w:rPr>
                <w:sz w:val="20"/>
                <w:szCs w:val="20"/>
              </w:rPr>
            </w:pPr>
            <w:r w:rsidRPr="007A7F80">
              <w:rPr>
                <w:sz w:val="20"/>
                <w:szCs w:val="20"/>
              </w:rPr>
              <w:t xml:space="preserve">Conclusion: </w:t>
            </w:r>
            <w:r w:rsidR="000403EF" w:rsidRPr="007A7F80">
              <w:rPr>
                <w:sz w:val="20"/>
                <w:szCs w:val="20"/>
              </w:rPr>
              <w:t xml:space="preserve">for all the reasons explained above, the Guideline 10 </w:t>
            </w:r>
            <w:r w:rsidR="000A3D48" w:rsidRPr="007A7F80">
              <w:rPr>
                <w:sz w:val="20"/>
                <w:szCs w:val="20"/>
              </w:rPr>
              <w:t>could</w:t>
            </w:r>
            <w:r w:rsidR="000403EF" w:rsidRPr="007A7F80">
              <w:rPr>
                <w:sz w:val="20"/>
                <w:szCs w:val="20"/>
              </w:rPr>
              <w:t xml:space="preserve"> be </w:t>
            </w:r>
            <w:r w:rsidR="000A3D48" w:rsidRPr="007A7F80">
              <w:rPr>
                <w:sz w:val="20"/>
                <w:szCs w:val="20"/>
              </w:rPr>
              <w:t>removed</w:t>
            </w:r>
            <w:r w:rsidR="000403EF" w:rsidRPr="007A7F80">
              <w:rPr>
                <w:sz w:val="20"/>
                <w:szCs w:val="20"/>
              </w:rPr>
              <w:t>. R</w:t>
            </w:r>
            <w:r w:rsidR="00E364CC" w:rsidRPr="007A7F80">
              <w:rPr>
                <w:sz w:val="20"/>
                <w:szCs w:val="20"/>
              </w:rPr>
              <w:t>egarding contractual relationships with cloud service providers, a solution could be to elaborate, at EU level, model clauses complying with competitions rules.</w:t>
            </w:r>
          </w:p>
          <w:p w:rsidR="00117AB5" w:rsidRPr="007A7F80" w:rsidRDefault="00E364CC" w:rsidP="00E364CC">
            <w:pPr>
              <w:pStyle w:val="Textedesaisie"/>
              <w:rPr>
                <w:sz w:val="20"/>
                <w:szCs w:val="20"/>
              </w:rPr>
            </w:pPr>
            <w:r w:rsidRPr="007A7F80">
              <w:rPr>
                <w:sz w:val="20"/>
                <w:szCs w:val="20"/>
              </w:rPr>
              <w:t xml:space="preserve">Indeed, </w:t>
            </w:r>
            <w:r w:rsidR="00117AB5" w:rsidRPr="007A7F80">
              <w:rPr>
                <w:sz w:val="20"/>
                <w:szCs w:val="20"/>
              </w:rPr>
              <w:t>insurance undertaking</w:t>
            </w:r>
            <w:r w:rsidRPr="007A7F80">
              <w:rPr>
                <w:sz w:val="20"/>
                <w:szCs w:val="20"/>
              </w:rPr>
              <w:t>s</w:t>
            </w:r>
            <w:r w:rsidR="00117AB5" w:rsidRPr="007A7F80">
              <w:rPr>
                <w:sz w:val="20"/>
                <w:szCs w:val="20"/>
              </w:rPr>
              <w:t xml:space="preserve"> suffer from a weak bargaining power compared to giant cloud service provider</w:t>
            </w:r>
            <w:r w:rsidRPr="007A7F80">
              <w:rPr>
                <w:sz w:val="20"/>
                <w:szCs w:val="20"/>
              </w:rPr>
              <w:t>s, mode</w:t>
            </w:r>
            <w:r w:rsidR="000403EF" w:rsidRPr="007A7F80">
              <w:rPr>
                <w:sz w:val="20"/>
                <w:szCs w:val="20"/>
              </w:rPr>
              <w:t>l</w:t>
            </w:r>
            <w:r w:rsidRPr="007A7F80">
              <w:rPr>
                <w:sz w:val="20"/>
                <w:szCs w:val="20"/>
              </w:rPr>
              <w:t>s clauses compulsory for contracting parties could be the solution</w:t>
            </w:r>
          </w:p>
        </w:tc>
      </w:tr>
    </w:tbl>
    <w:p w:rsidR="00396757" w:rsidRPr="007A7F80" w:rsidRDefault="00396757" w:rsidP="00113338">
      <w:pPr>
        <w:pStyle w:val="Textedesaisie"/>
        <w:rPr>
          <w:sz w:val="20"/>
          <w:szCs w:val="20"/>
        </w:rPr>
      </w:pPr>
    </w:p>
    <w:p w:rsidR="0072530C" w:rsidRPr="007A7F80" w:rsidRDefault="0072530C" w:rsidP="0072530C">
      <w:pPr>
        <w:pStyle w:val="Textedesaisie"/>
        <w:rPr>
          <w:color w:val="312783" w:themeColor="accent1"/>
          <w:sz w:val="20"/>
          <w:szCs w:val="20"/>
        </w:rPr>
      </w:pPr>
      <w:r w:rsidRPr="007A7F80">
        <w:rPr>
          <w:color w:val="312783" w:themeColor="accent1"/>
          <w:sz w:val="20"/>
          <w:szCs w:val="20"/>
        </w:rPr>
        <w:t>Q12 Are the criteria provided to set the contractual requirements for non-material</w:t>
      </w:r>
    </w:p>
    <w:p w:rsidR="0072530C" w:rsidRPr="007A7F80" w:rsidRDefault="0072530C" w:rsidP="0072530C">
      <w:pPr>
        <w:pStyle w:val="Textedesaisie"/>
        <w:rPr>
          <w:color w:val="312783" w:themeColor="accent1"/>
          <w:sz w:val="20"/>
          <w:szCs w:val="20"/>
        </w:rPr>
      </w:pPr>
      <w:r w:rsidRPr="007A7F80">
        <w:rPr>
          <w:color w:val="312783" w:themeColor="accent1"/>
          <w:sz w:val="20"/>
          <w:szCs w:val="20"/>
        </w:rPr>
        <w:t>outsourcing appropriate and sufficiently clear?</w:t>
      </w:r>
    </w:p>
    <w:p w:rsidR="0072530C" w:rsidRPr="007A7F80" w:rsidRDefault="00AF1E5D" w:rsidP="0072530C">
      <w:pPr>
        <w:pStyle w:val="Textedesaisie"/>
        <w:rPr>
          <w:bCs/>
          <w:sz w:val="20"/>
          <w:szCs w:val="20"/>
        </w:rPr>
      </w:pPr>
      <w:r w:rsidRPr="007A7F80">
        <w:rPr>
          <w:bCs/>
          <w:sz w:val="20"/>
          <w:szCs w:val="20"/>
        </w:rPr>
        <w:t>T</w:t>
      </w:r>
      <w:r w:rsidR="0072530C" w:rsidRPr="007A7F80">
        <w:rPr>
          <w:bCs/>
          <w:sz w:val="20"/>
          <w:szCs w:val="20"/>
        </w:rPr>
        <w:t>here should be no contractual requirements for non-material cloud outsourcing arrangements, which should not fall within the scope of these Guidelines.</w:t>
      </w:r>
    </w:p>
    <w:p w:rsidR="005C4C24" w:rsidRPr="007A7F80" w:rsidRDefault="005C4C24" w:rsidP="00EE7D77">
      <w:pPr>
        <w:pStyle w:val="Textedesaisie"/>
        <w:rPr>
          <w:sz w:val="20"/>
          <w:szCs w:val="20"/>
        </w:rPr>
      </w:pPr>
    </w:p>
    <w:p w:rsidR="00220DD3" w:rsidRPr="007A7F80" w:rsidRDefault="005C4C24" w:rsidP="00EE7D77">
      <w:pPr>
        <w:pStyle w:val="Textedesaisie"/>
        <w:rPr>
          <w:color w:val="312783" w:themeColor="accent1"/>
          <w:sz w:val="20"/>
          <w:szCs w:val="20"/>
        </w:rPr>
      </w:pPr>
      <w:r w:rsidRPr="007A7F80">
        <w:rPr>
          <w:color w:val="312783" w:themeColor="accent1"/>
          <w:sz w:val="20"/>
          <w:szCs w:val="20"/>
        </w:rPr>
        <w:t>Q13 Are the guideline on access and audit rights appropriate and sufficiently clear?</w:t>
      </w:r>
    </w:p>
    <w:p w:rsidR="002D13C3" w:rsidRPr="007A7F80" w:rsidRDefault="00591B08" w:rsidP="00117AB5">
      <w:pPr>
        <w:pStyle w:val="Textedesaisie"/>
        <w:rPr>
          <w:sz w:val="20"/>
          <w:szCs w:val="20"/>
        </w:rPr>
      </w:pPr>
      <w:r w:rsidRPr="007A7F80">
        <w:rPr>
          <w:sz w:val="20"/>
          <w:szCs w:val="20"/>
        </w:rPr>
        <w:t>M</w:t>
      </w:r>
      <w:r w:rsidR="00816F36" w:rsidRPr="007A7F80">
        <w:rPr>
          <w:sz w:val="20"/>
          <w:szCs w:val="20"/>
        </w:rPr>
        <w:t>any questions</w:t>
      </w:r>
      <w:r w:rsidRPr="007A7F80">
        <w:rPr>
          <w:sz w:val="20"/>
          <w:szCs w:val="20"/>
        </w:rPr>
        <w:t xml:space="preserve"> arise from Guideline 11</w:t>
      </w:r>
    </w:p>
    <w:p w:rsidR="00DF3704" w:rsidRPr="007A7F80" w:rsidRDefault="00DF3704" w:rsidP="00DF3704">
      <w:pPr>
        <w:pStyle w:val="Textedesaisie"/>
        <w:rPr>
          <w:sz w:val="20"/>
          <w:szCs w:val="20"/>
        </w:rPr>
      </w:pPr>
    </w:p>
    <w:p w:rsidR="00DF3704" w:rsidRPr="007A7F80" w:rsidRDefault="00DF3704" w:rsidP="00816F36">
      <w:pPr>
        <w:pStyle w:val="Textedesaisie"/>
        <w:numPr>
          <w:ilvl w:val="0"/>
          <w:numId w:val="24"/>
        </w:numPr>
        <w:rPr>
          <w:bCs/>
          <w:iCs/>
          <w:sz w:val="20"/>
          <w:szCs w:val="20"/>
        </w:rPr>
      </w:pPr>
      <w:r w:rsidRPr="007A7F80">
        <w:rPr>
          <w:bCs/>
          <w:iCs/>
          <w:sz w:val="20"/>
          <w:szCs w:val="20"/>
        </w:rPr>
        <w:t>Regarding these pooled audits, it is a good idea which must be further explored; however, cumulative requirements in 45 seem di</w:t>
      </w:r>
      <w:r w:rsidR="00D060E0" w:rsidRPr="007A7F80">
        <w:rPr>
          <w:bCs/>
          <w:iCs/>
          <w:sz w:val="20"/>
          <w:szCs w:val="20"/>
        </w:rPr>
        <w:t>fficult to meet.</w:t>
      </w:r>
    </w:p>
    <w:p w:rsidR="00D060E0" w:rsidRPr="007A7F80" w:rsidRDefault="00D060E0" w:rsidP="00816F36">
      <w:pPr>
        <w:pStyle w:val="Textedesaisie"/>
        <w:numPr>
          <w:ilvl w:val="0"/>
          <w:numId w:val="24"/>
        </w:numPr>
        <w:rPr>
          <w:bCs/>
          <w:iCs/>
          <w:sz w:val="20"/>
          <w:szCs w:val="20"/>
        </w:rPr>
      </w:pPr>
      <w:r w:rsidRPr="007A7F80">
        <w:rPr>
          <w:bCs/>
          <w:iCs/>
          <w:sz w:val="20"/>
          <w:szCs w:val="20"/>
        </w:rPr>
        <w:t xml:space="preserve">Please clarify paragraph 45(a). To which audit plan are you referring to? </w:t>
      </w:r>
    </w:p>
    <w:p w:rsidR="00D060E0" w:rsidRPr="007A7F80" w:rsidRDefault="00D060E0" w:rsidP="00816F36">
      <w:pPr>
        <w:pStyle w:val="Textedesaisie"/>
        <w:numPr>
          <w:ilvl w:val="0"/>
          <w:numId w:val="24"/>
        </w:numPr>
        <w:rPr>
          <w:bCs/>
          <w:iCs/>
          <w:sz w:val="20"/>
          <w:szCs w:val="20"/>
        </w:rPr>
      </w:pPr>
      <w:r w:rsidRPr="007A7F80">
        <w:rPr>
          <w:bCs/>
          <w:iCs/>
          <w:sz w:val="20"/>
          <w:szCs w:val="20"/>
        </w:rPr>
        <w:t>At paragraph 45(b), the use of both “i.e.” and “etc.” makes it unclear whether the list of systems in brackets is limitative or not. Also, it refers to “systems” and “key controls”, while paragraph 45(d) refers to “key systems and controls”. Please correct this inconsistency and clarify the notions of key systems and controls.</w:t>
      </w:r>
    </w:p>
    <w:p w:rsidR="00D060E0" w:rsidRPr="007A7F80" w:rsidRDefault="00D060E0" w:rsidP="00816F36">
      <w:pPr>
        <w:pStyle w:val="Textedesaisie"/>
        <w:numPr>
          <w:ilvl w:val="0"/>
          <w:numId w:val="24"/>
        </w:numPr>
        <w:rPr>
          <w:bCs/>
          <w:iCs/>
          <w:sz w:val="20"/>
          <w:szCs w:val="20"/>
        </w:rPr>
      </w:pPr>
      <w:r w:rsidRPr="007A7F80">
        <w:rPr>
          <w:bCs/>
          <w:iCs/>
          <w:sz w:val="20"/>
          <w:szCs w:val="20"/>
        </w:rPr>
        <w:t>At paragraph 45(c), “thoroughly” should be removed. Paragraph 45(c) should not amount to requiring a thorough audit of audit reports.</w:t>
      </w:r>
    </w:p>
    <w:p w:rsidR="00D060E0" w:rsidRPr="007A7F80" w:rsidRDefault="00D060E0" w:rsidP="00816F36">
      <w:pPr>
        <w:pStyle w:val="Textedesaisie"/>
        <w:numPr>
          <w:ilvl w:val="0"/>
          <w:numId w:val="24"/>
        </w:numPr>
        <w:rPr>
          <w:bCs/>
          <w:iCs/>
          <w:sz w:val="20"/>
          <w:szCs w:val="20"/>
        </w:rPr>
      </w:pPr>
      <w:r w:rsidRPr="007A7F80">
        <w:rPr>
          <w:bCs/>
          <w:iCs/>
          <w:sz w:val="20"/>
          <w:szCs w:val="20"/>
        </w:rPr>
        <w:t>At paragraph 45(d), it is unduly burdensome to require undertakings to ensure that key systems and controls are covered in future versions of the certification or audit report. Undertakings should only ensure that key systems and controls are covered in the scope of the certification or audit report at the time they are using it as an audit method.</w:t>
      </w:r>
    </w:p>
    <w:p w:rsidR="00D060E0" w:rsidRPr="007A7F80" w:rsidRDefault="00D060E0" w:rsidP="00816F36">
      <w:pPr>
        <w:pStyle w:val="Textedesaisie"/>
        <w:numPr>
          <w:ilvl w:val="0"/>
          <w:numId w:val="24"/>
        </w:numPr>
        <w:rPr>
          <w:bCs/>
          <w:iCs/>
          <w:sz w:val="20"/>
          <w:szCs w:val="20"/>
        </w:rPr>
      </w:pPr>
      <w:r w:rsidRPr="007A7F80">
        <w:rPr>
          <w:bCs/>
          <w:iCs/>
          <w:sz w:val="20"/>
          <w:szCs w:val="20"/>
        </w:rPr>
        <w:t>At paragraph 45(e), what is meant by “rotation of the certifying or auditing company”?</w:t>
      </w:r>
    </w:p>
    <w:p w:rsidR="000411D1" w:rsidRPr="007A7F80" w:rsidRDefault="000411D1" w:rsidP="00816F36">
      <w:pPr>
        <w:pStyle w:val="Textedesaisie"/>
        <w:numPr>
          <w:ilvl w:val="0"/>
          <w:numId w:val="24"/>
        </w:numPr>
        <w:rPr>
          <w:bCs/>
          <w:iCs/>
          <w:sz w:val="20"/>
          <w:szCs w:val="20"/>
        </w:rPr>
      </w:pPr>
      <w:r w:rsidRPr="007A7F80">
        <w:rPr>
          <w:bCs/>
          <w:iCs/>
          <w:sz w:val="20"/>
          <w:szCs w:val="20"/>
        </w:rPr>
        <w:t xml:space="preserve">At paragraph 45 (g), difficult to apply, </w:t>
      </w:r>
      <w:bookmarkStart w:id="12" w:name="_Hlk20126489"/>
      <w:r w:rsidRPr="007A7F80">
        <w:rPr>
          <w:bCs/>
          <w:iCs/>
          <w:sz w:val="20"/>
          <w:szCs w:val="20"/>
        </w:rPr>
        <w:t xml:space="preserve">regarding most of cloud outsourcing arrangements, the service provider offers a standardized and packaged offer, which is </w:t>
      </w:r>
      <w:proofErr w:type="gramStart"/>
      <w:r w:rsidRPr="007A7F80">
        <w:rPr>
          <w:bCs/>
          <w:iCs/>
          <w:sz w:val="20"/>
          <w:szCs w:val="20"/>
        </w:rPr>
        <w:t>absolutely identical</w:t>
      </w:r>
      <w:proofErr w:type="gramEnd"/>
      <w:r w:rsidRPr="007A7F80">
        <w:rPr>
          <w:bCs/>
          <w:iCs/>
          <w:sz w:val="20"/>
          <w:szCs w:val="20"/>
        </w:rPr>
        <w:t xml:space="preserve"> for all its clients, and which can hardly be adapted and customized for a specific client </w:t>
      </w:r>
      <w:bookmarkEnd w:id="12"/>
      <w:r w:rsidRPr="007A7F80">
        <w:rPr>
          <w:bCs/>
          <w:iCs/>
          <w:sz w:val="20"/>
          <w:szCs w:val="20"/>
        </w:rPr>
        <w:t>(including audit aspects).</w:t>
      </w:r>
    </w:p>
    <w:p w:rsidR="00D060E0" w:rsidRPr="007A7F80" w:rsidRDefault="00D060E0" w:rsidP="00816F36">
      <w:pPr>
        <w:pStyle w:val="Textedesaisie"/>
        <w:numPr>
          <w:ilvl w:val="0"/>
          <w:numId w:val="24"/>
        </w:numPr>
        <w:rPr>
          <w:bCs/>
          <w:iCs/>
          <w:sz w:val="20"/>
          <w:szCs w:val="20"/>
        </w:rPr>
      </w:pPr>
      <w:r w:rsidRPr="007A7F80">
        <w:rPr>
          <w:bCs/>
          <w:iCs/>
          <w:sz w:val="20"/>
          <w:szCs w:val="20"/>
        </w:rPr>
        <w:t>At paragraph 45(h), please clarify the extent of on-site audits in the context of cloud outsourcing, bearing in mind that the full rights to access and audit for outsourcing undertakings is difficult to implement in view of highly standardized services and contracts, the limited negotiation power of outsourcing undertakings, the risk these rights pose to the cloud environment of other clients of the cloud service provider, and the risk and operational implications for the cloud service provider as a whole.</w:t>
      </w:r>
    </w:p>
    <w:p w:rsidR="00D060E0" w:rsidRPr="007A7F80" w:rsidRDefault="00D060E0" w:rsidP="00816F36">
      <w:pPr>
        <w:pStyle w:val="Textedesaisie"/>
        <w:numPr>
          <w:ilvl w:val="0"/>
          <w:numId w:val="24"/>
        </w:numPr>
        <w:rPr>
          <w:bCs/>
          <w:iCs/>
          <w:sz w:val="20"/>
          <w:szCs w:val="20"/>
        </w:rPr>
      </w:pPr>
      <w:r w:rsidRPr="007A7F80">
        <w:rPr>
          <w:bCs/>
          <w:iCs/>
          <w:sz w:val="20"/>
          <w:szCs w:val="20"/>
        </w:rPr>
        <w:t>At paragraph 48, please clarify the requirement on “the appropriate skills and knowledge”.</w:t>
      </w:r>
    </w:p>
    <w:p w:rsidR="00D060E0" w:rsidRPr="007A7F80" w:rsidRDefault="00D060E0" w:rsidP="00816F36">
      <w:pPr>
        <w:pStyle w:val="Textedesaisie"/>
        <w:numPr>
          <w:ilvl w:val="0"/>
          <w:numId w:val="24"/>
        </w:numPr>
        <w:rPr>
          <w:bCs/>
          <w:iCs/>
          <w:sz w:val="20"/>
          <w:szCs w:val="20"/>
        </w:rPr>
      </w:pPr>
      <w:r w:rsidRPr="007A7F80">
        <w:rPr>
          <w:bCs/>
          <w:iCs/>
          <w:sz w:val="20"/>
          <w:szCs w:val="20"/>
        </w:rPr>
        <w:t>How to measure satisfaction as referred to in paragraphs 45(a), 45(e) and 45(f)?</w:t>
      </w:r>
    </w:p>
    <w:p w:rsidR="00D060E0" w:rsidRPr="007A7F80" w:rsidRDefault="00D060E0" w:rsidP="00816F36">
      <w:pPr>
        <w:pStyle w:val="Textedesaisie"/>
        <w:numPr>
          <w:ilvl w:val="0"/>
          <w:numId w:val="24"/>
        </w:numPr>
        <w:rPr>
          <w:bCs/>
          <w:iCs/>
          <w:sz w:val="20"/>
          <w:szCs w:val="20"/>
        </w:rPr>
      </w:pPr>
      <w:r w:rsidRPr="007A7F80">
        <w:rPr>
          <w:bCs/>
          <w:iCs/>
          <w:sz w:val="20"/>
          <w:szCs w:val="20"/>
        </w:rPr>
        <w:t>Please clarify that paragraphs 43 to 45 apply to both access and audit rights (not just audit). E.g. paragraph 43 should start with “If the exercise of access or audit rights, or the use of certain audit techniques…”.</w:t>
      </w:r>
    </w:p>
    <w:tbl>
      <w:tblPr>
        <w:tblStyle w:val="Grilledutableau"/>
        <w:tblW w:w="0" w:type="auto"/>
        <w:tblLook w:val="04A0" w:firstRow="1" w:lastRow="0" w:firstColumn="1" w:lastColumn="0" w:noHBand="0" w:noVBand="1"/>
      </w:tblPr>
      <w:tblGrid>
        <w:gridCol w:w="9628"/>
      </w:tblGrid>
      <w:tr w:rsidR="00816F36" w:rsidRPr="007A7F80" w:rsidTr="00591254">
        <w:tc>
          <w:tcPr>
            <w:tcW w:w="9628" w:type="dxa"/>
            <w:shd w:val="clear" w:color="auto" w:fill="D8D8D8" w:themeFill="accent6"/>
          </w:tcPr>
          <w:p w:rsidR="00816F36" w:rsidRPr="007A7F80" w:rsidRDefault="00816F36" w:rsidP="00591254">
            <w:pPr>
              <w:pStyle w:val="Textedesaisie"/>
              <w:rPr>
                <w:bCs/>
                <w:iCs/>
                <w:sz w:val="20"/>
                <w:szCs w:val="20"/>
              </w:rPr>
            </w:pPr>
            <w:r w:rsidRPr="007A7F80">
              <w:rPr>
                <w:bCs/>
                <w:iCs/>
                <w:sz w:val="20"/>
                <w:szCs w:val="20"/>
              </w:rPr>
              <w:t>Conclusion:</w:t>
            </w:r>
            <w:r w:rsidR="007232EF" w:rsidRPr="007A7F80">
              <w:rPr>
                <w:bCs/>
                <w:iCs/>
                <w:sz w:val="20"/>
                <w:szCs w:val="20"/>
              </w:rPr>
              <w:t xml:space="preserve"> t</w:t>
            </w:r>
            <w:r w:rsidRPr="007A7F80">
              <w:rPr>
                <w:bCs/>
                <w:iCs/>
                <w:sz w:val="20"/>
                <w:szCs w:val="20"/>
              </w:rPr>
              <w:t xml:space="preserve">he FFA would like to stress </w:t>
            </w:r>
            <w:r w:rsidR="00591B08" w:rsidRPr="007A7F80">
              <w:rPr>
                <w:bCs/>
                <w:iCs/>
                <w:sz w:val="20"/>
                <w:szCs w:val="20"/>
              </w:rPr>
              <w:t xml:space="preserve">the difficulty of gaining acceptance for these access and audit rights </w:t>
            </w:r>
            <w:r w:rsidR="000411D1" w:rsidRPr="007A7F80">
              <w:rPr>
                <w:bCs/>
                <w:iCs/>
                <w:sz w:val="20"/>
                <w:szCs w:val="20"/>
              </w:rPr>
              <w:t>(not least for reasons of confidentiality)</w:t>
            </w:r>
            <w:r w:rsidR="00591B08" w:rsidRPr="007A7F80">
              <w:rPr>
                <w:bCs/>
                <w:iCs/>
                <w:sz w:val="20"/>
                <w:szCs w:val="20"/>
              </w:rPr>
              <w:t>. In practice,</w:t>
            </w:r>
            <w:r w:rsidRPr="007A7F80">
              <w:rPr>
                <w:bCs/>
                <w:iCs/>
                <w:sz w:val="20"/>
                <w:szCs w:val="20"/>
              </w:rPr>
              <w:t xml:space="preserve"> it is common contractual practice for service providers to provide a limitation on the number of audit rights per year: is such as limitation considered an impediment to the rights of access and audit as per paragraph 39?</w:t>
            </w:r>
          </w:p>
          <w:p w:rsidR="00816F36" w:rsidRPr="007A7F80" w:rsidRDefault="00816F36" w:rsidP="00591254">
            <w:pPr>
              <w:pStyle w:val="Textedesaisie"/>
              <w:rPr>
                <w:bCs/>
                <w:iCs/>
                <w:sz w:val="20"/>
                <w:szCs w:val="20"/>
              </w:rPr>
            </w:pPr>
            <w:r w:rsidRPr="007A7F80">
              <w:rPr>
                <w:bCs/>
                <w:iCs/>
                <w:sz w:val="20"/>
                <w:szCs w:val="20"/>
              </w:rPr>
              <w:t xml:space="preserve">As said before, cloud service providers </w:t>
            </w:r>
            <w:r w:rsidR="002C32EE" w:rsidRPr="007A7F80">
              <w:rPr>
                <w:bCs/>
                <w:iCs/>
                <w:sz w:val="20"/>
                <w:szCs w:val="20"/>
              </w:rPr>
              <w:t>could</w:t>
            </w:r>
            <w:r w:rsidRPr="007A7F80">
              <w:rPr>
                <w:bCs/>
                <w:iCs/>
                <w:sz w:val="20"/>
                <w:szCs w:val="20"/>
              </w:rPr>
              <w:t xml:space="preserve"> comply with an ISO or SOC</w:t>
            </w:r>
            <w:r w:rsidR="00591254" w:rsidRPr="007A7F80">
              <w:rPr>
                <w:bCs/>
                <w:iCs/>
                <w:sz w:val="20"/>
                <w:szCs w:val="20"/>
              </w:rPr>
              <w:t xml:space="preserve"> (Service Organization Control)</w:t>
            </w:r>
            <w:r w:rsidRPr="007A7F80">
              <w:rPr>
                <w:bCs/>
                <w:iCs/>
                <w:sz w:val="20"/>
                <w:szCs w:val="20"/>
              </w:rPr>
              <w:t xml:space="preserve"> certification guaranteeing the continued compliance with high level safety requirements with which the insurers and other interested parties can trust.</w:t>
            </w:r>
          </w:p>
          <w:p w:rsidR="00816F36" w:rsidRPr="007A7F80" w:rsidRDefault="00816F36" w:rsidP="00591254">
            <w:pPr>
              <w:pStyle w:val="Textedesaisie"/>
              <w:ind w:left="360"/>
              <w:rPr>
                <w:bCs/>
                <w:iCs/>
                <w:sz w:val="20"/>
                <w:szCs w:val="20"/>
              </w:rPr>
            </w:pPr>
          </w:p>
        </w:tc>
      </w:tr>
    </w:tbl>
    <w:p w:rsidR="00D060E0" w:rsidRPr="007A7F80" w:rsidRDefault="00D060E0" w:rsidP="00DF3704">
      <w:pPr>
        <w:pStyle w:val="Textedesaisie"/>
        <w:rPr>
          <w:bCs/>
          <w:iCs/>
          <w:sz w:val="20"/>
          <w:szCs w:val="20"/>
        </w:rPr>
      </w:pPr>
    </w:p>
    <w:p w:rsidR="00DF3704" w:rsidRPr="007A7F80" w:rsidRDefault="00DF3704" w:rsidP="00DF3704">
      <w:pPr>
        <w:pStyle w:val="Textedesaisie"/>
        <w:rPr>
          <w:bCs/>
          <w:iCs/>
          <w:sz w:val="20"/>
          <w:szCs w:val="20"/>
        </w:rPr>
      </w:pPr>
    </w:p>
    <w:p w:rsidR="00DF3704" w:rsidRPr="007A7F80" w:rsidRDefault="00155637" w:rsidP="00F40CC7">
      <w:pPr>
        <w:pStyle w:val="Textedesaisie"/>
        <w:rPr>
          <w:color w:val="312783" w:themeColor="accent1"/>
          <w:sz w:val="20"/>
          <w:szCs w:val="20"/>
        </w:rPr>
      </w:pPr>
      <w:r w:rsidRPr="007A7F80">
        <w:rPr>
          <w:color w:val="312783" w:themeColor="accent1"/>
          <w:sz w:val="20"/>
          <w:szCs w:val="20"/>
        </w:rPr>
        <w:t>Q14 Are the provisions set by this Guideline for security of data and systems appropriate and sufficiently clear?</w:t>
      </w:r>
    </w:p>
    <w:p w:rsidR="007A2136" w:rsidRDefault="000C5CC0" w:rsidP="00F40CC7">
      <w:pPr>
        <w:pStyle w:val="Textedesaisie"/>
        <w:rPr>
          <w:bCs/>
          <w:iCs/>
          <w:sz w:val="20"/>
          <w:szCs w:val="20"/>
        </w:rPr>
      </w:pPr>
      <w:r>
        <w:rPr>
          <w:bCs/>
          <w:iCs/>
          <w:sz w:val="20"/>
          <w:szCs w:val="20"/>
        </w:rPr>
        <w:t>Regarding data protection requirements, insurance sector has already to comply with GDPR regulation</w:t>
      </w:r>
      <w:r w:rsidR="007A2136">
        <w:rPr>
          <w:bCs/>
          <w:iCs/>
          <w:sz w:val="20"/>
          <w:szCs w:val="20"/>
        </w:rPr>
        <w:t xml:space="preserve">, which must remain the reference. </w:t>
      </w:r>
    </w:p>
    <w:p w:rsidR="008F4416" w:rsidRPr="007A7F80" w:rsidRDefault="008F4416" w:rsidP="00F40CC7">
      <w:pPr>
        <w:pStyle w:val="Textedesaisie"/>
        <w:rPr>
          <w:bCs/>
          <w:iCs/>
          <w:sz w:val="20"/>
          <w:szCs w:val="20"/>
        </w:rPr>
      </w:pPr>
      <w:r w:rsidRPr="007A7F80">
        <w:rPr>
          <w:bCs/>
          <w:iCs/>
          <w:sz w:val="20"/>
          <w:szCs w:val="20"/>
        </w:rPr>
        <w:t>O</w:t>
      </w:r>
      <w:r w:rsidR="00AA2886" w:rsidRPr="007A7F80">
        <w:rPr>
          <w:bCs/>
          <w:iCs/>
          <w:sz w:val="20"/>
          <w:szCs w:val="20"/>
        </w:rPr>
        <w:t>ngoing monitoring appears extremely stringent</w:t>
      </w:r>
      <w:r w:rsidR="00F40CC7" w:rsidRPr="007A7F80">
        <w:rPr>
          <w:bCs/>
          <w:iCs/>
          <w:sz w:val="20"/>
          <w:szCs w:val="20"/>
        </w:rPr>
        <w:t>, or even possible to achieve</w:t>
      </w:r>
      <w:r w:rsidRPr="007A7F80">
        <w:rPr>
          <w:bCs/>
          <w:iCs/>
          <w:sz w:val="20"/>
          <w:szCs w:val="20"/>
        </w:rPr>
        <w:t xml:space="preserve">. Insurance undertakings have already developed a </w:t>
      </w:r>
      <w:r w:rsidR="00976BB2" w:rsidRPr="007A7F80">
        <w:rPr>
          <w:bCs/>
          <w:iCs/>
          <w:sz w:val="20"/>
          <w:szCs w:val="20"/>
        </w:rPr>
        <w:t xml:space="preserve">PAS (Plan </w:t>
      </w:r>
      <w:proofErr w:type="spellStart"/>
      <w:r w:rsidR="00976BB2" w:rsidRPr="007A7F80">
        <w:rPr>
          <w:bCs/>
          <w:iCs/>
          <w:sz w:val="20"/>
          <w:szCs w:val="20"/>
        </w:rPr>
        <w:t>d’Assurance</w:t>
      </w:r>
      <w:proofErr w:type="spellEnd"/>
      <w:r w:rsidR="00976BB2" w:rsidRPr="007A7F80">
        <w:rPr>
          <w:bCs/>
          <w:iCs/>
          <w:sz w:val="20"/>
          <w:szCs w:val="20"/>
        </w:rPr>
        <w:t xml:space="preserve"> </w:t>
      </w:r>
      <w:proofErr w:type="spellStart"/>
      <w:r w:rsidR="00976BB2" w:rsidRPr="007A7F80">
        <w:rPr>
          <w:bCs/>
          <w:iCs/>
          <w:sz w:val="20"/>
          <w:szCs w:val="20"/>
        </w:rPr>
        <w:t>Qualité</w:t>
      </w:r>
      <w:proofErr w:type="spellEnd"/>
      <w:r w:rsidR="00976BB2" w:rsidRPr="007A7F80">
        <w:rPr>
          <w:bCs/>
          <w:iCs/>
          <w:sz w:val="20"/>
          <w:szCs w:val="20"/>
        </w:rPr>
        <w:t>) annexed to the cloud agreement.</w:t>
      </w:r>
    </w:p>
    <w:p w:rsidR="00976BB2" w:rsidRPr="007A7F80" w:rsidRDefault="00976BB2" w:rsidP="00F40CC7">
      <w:pPr>
        <w:pStyle w:val="Textedesaisie"/>
        <w:rPr>
          <w:bCs/>
          <w:iCs/>
          <w:sz w:val="20"/>
          <w:szCs w:val="20"/>
        </w:rPr>
      </w:pPr>
      <w:r w:rsidRPr="007A7F80">
        <w:rPr>
          <w:bCs/>
          <w:iCs/>
          <w:sz w:val="20"/>
          <w:szCs w:val="20"/>
        </w:rPr>
        <w:t xml:space="preserve">At 50 (d), </w:t>
      </w:r>
      <w:r w:rsidR="004D4CA2" w:rsidRPr="007A7F80">
        <w:rPr>
          <w:bCs/>
          <w:iCs/>
          <w:sz w:val="20"/>
          <w:szCs w:val="20"/>
        </w:rPr>
        <w:t>such proposal goes too far</w:t>
      </w:r>
      <w:r w:rsidR="00DD57F4" w:rsidRPr="007A7F80">
        <w:rPr>
          <w:bCs/>
          <w:iCs/>
          <w:sz w:val="20"/>
          <w:szCs w:val="20"/>
        </w:rPr>
        <w:t xml:space="preserve"> because of including the sub-outsourcers</w:t>
      </w:r>
      <w:r w:rsidR="002A0E53" w:rsidRPr="007A7F80">
        <w:rPr>
          <w:bCs/>
          <w:iCs/>
          <w:sz w:val="20"/>
          <w:szCs w:val="20"/>
        </w:rPr>
        <w:t>.</w:t>
      </w:r>
    </w:p>
    <w:p w:rsidR="00F40CC7" w:rsidRPr="007A7F80" w:rsidRDefault="00F40CC7" w:rsidP="00F40CC7">
      <w:pPr>
        <w:pStyle w:val="Textedesaisie"/>
        <w:rPr>
          <w:bCs/>
          <w:iCs/>
          <w:sz w:val="20"/>
          <w:szCs w:val="20"/>
        </w:rPr>
      </w:pPr>
      <w:r w:rsidRPr="007A7F80">
        <w:rPr>
          <w:bCs/>
          <w:iCs/>
          <w:sz w:val="20"/>
          <w:szCs w:val="20"/>
        </w:rPr>
        <w:t>At paragraph 50(g), please clarify how, and at which frequency, the undertaking should monitor the level of fulfillment of the requirements relating to the efficiency of control mechanisms implemented by the cloud service provider and its significant sub-outsourcers. Also, such monitoring should be limited to the cloud service provider as it is the cloud service provider’s responsibility to monitor its sub-outsourcers.</w:t>
      </w:r>
    </w:p>
    <w:tbl>
      <w:tblPr>
        <w:tblStyle w:val="Grilledutableau"/>
        <w:tblW w:w="0" w:type="auto"/>
        <w:tblLook w:val="04A0" w:firstRow="1" w:lastRow="0" w:firstColumn="1" w:lastColumn="0" w:noHBand="0" w:noVBand="1"/>
      </w:tblPr>
      <w:tblGrid>
        <w:gridCol w:w="9628"/>
      </w:tblGrid>
      <w:tr w:rsidR="00591254" w:rsidRPr="007A7F80" w:rsidTr="00591254">
        <w:tc>
          <w:tcPr>
            <w:tcW w:w="9628" w:type="dxa"/>
            <w:shd w:val="clear" w:color="auto" w:fill="D8D8D8" w:themeFill="accent6"/>
          </w:tcPr>
          <w:p w:rsidR="00591254" w:rsidRPr="007A7F80" w:rsidRDefault="00591254" w:rsidP="00591254">
            <w:pPr>
              <w:pStyle w:val="Textedesaisie"/>
              <w:rPr>
                <w:bCs/>
                <w:iCs/>
                <w:sz w:val="20"/>
                <w:szCs w:val="20"/>
              </w:rPr>
            </w:pPr>
            <w:r w:rsidRPr="007A7F80">
              <w:rPr>
                <w:bCs/>
                <w:iCs/>
                <w:sz w:val="20"/>
                <w:szCs w:val="20"/>
              </w:rPr>
              <w:t xml:space="preserve">Conclusion: </w:t>
            </w:r>
            <w:r w:rsidRPr="007A7F80">
              <w:rPr>
                <w:sz w:val="20"/>
                <w:szCs w:val="20"/>
              </w:rPr>
              <w:t xml:space="preserve">the FFA is in the opinion that </w:t>
            </w:r>
            <w:r w:rsidRPr="007A7F80">
              <w:rPr>
                <w:bCs/>
                <w:iCs/>
                <w:sz w:val="20"/>
                <w:szCs w:val="20"/>
              </w:rPr>
              <w:t xml:space="preserve">these obligations must be borne by cloud service providers. As said before </w:t>
            </w:r>
            <w:r w:rsidR="000A3D48" w:rsidRPr="007A7F80">
              <w:rPr>
                <w:bCs/>
                <w:iCs/>
                <w:sz w:val="20"/>
                <w:szCs w:val="20"/>
              </w:rPr>
              <w:t>a solution could be</w:t>
            </w:r>
            <w:r w:rsidRPr="007A7F80">
              <w:rPr>
                <w:bCs/>
                <w:iCs/>
                <w:sz w:val="20"/>
                <w:szCs w:val="20"/>
              </w:rPr>
              <w:t xml:space="preserve"> to elaborate an ISO certificate for these providers, guaranteeing the respect of a </w:t>
            </w:r>
            <w:proofErr w:type="gramStart"/>
            <w:r w:rsidRPr="007A7F80">
              <w:rPr>
                <w:bCs/>
                <w:iCs/>
                <w:sz w:val="20"/>
                <w:szCs w:val="20"/>
              </w:rPr>
              <w:t>high level</w:t>
            </w:r>
            <w:proofErr w:type="gramEnd"/>
            <w:r w:rsidRPr="007A7F80">
              <w:rPr>
                <w:bCs/>
                <w:iCs/>
                <w:sz w:val="20"/>
                <w:szCs w:val="20"/>
              </w:rPr>
              <w:t xml:space="preserve"> safety requirements</w:t>
            </w:r>
            <w:r w:rsidR="00056ECE" w:rsidRPr="007A7F80">
              <w:rPr>
                <w:bCs/>
                <w:iCs/>
                <w:sz w:val="20"/>
                <w:szCs w:val="20"/>
              </w:rPr>
              <w:t xml:space="preserve"> regarding security data and systems.</w:t>
            </w:r>
          </w:p>
        </w:tc>
      </w:tr>
    </w:tbl>
    <w:p w:rsidR="00591254" w:rsidRPr="007A7F80" w:rsidRDefault="00591254" w:rsidP="00F40CC7">
      <w:pPr>
        <w:pStyle w:val="Textedesaisie"/>
        <w:rPr>
          <w:color w:val="312783" w:themeColor="accent1"/>
          <w:sz w:val="20"/>
          <w:szCs w:val="20"/>
        </w:rPr>
      </w:pPr>
    </w:p>
    <w:p w:rsidR="00F40CC7" w:rsidRPr="007A7F80" w:rsidRDefault="00F40CC7" w:rsidP="00F40CC7">
      <w:pPr>
        <w:pStyle w:val="Textedesaisie"/>
        <w:rPr>
          <w:color w:val="312783" w:themeColor="accent1"/>
          <w:sz w:val="20"/>
          <w:szCs w:val="20"/>
        </w:rPr>
      </w:pPr>
      <w:r w:rsidRPr="007A7F80">
        <w:rPr>
          <w:color w:val="312783" w:themeColor="accent1"/>
          <w:sz w:val="20"/>
          <w:szCs w:val="20"/>
        </w:rPr>
        <w:t xml:space="preserve">Q15. Are the requirements set by these Guidelines and </w:t>
      </w:r>
      <w:proofErr w:type="gramStart"/>
      <w:r w:rsidRPr="007A7F80">
        <w:rPr>
          <w:color w:val="312783" w:themeColor="accent1"/>
          <w:sz w:val="20"/>
          <w:szCs w:val="20"/>
        </w:rPr>
        <w:t>in particular by</w:t>
      </w:r>
      <w:proofErr w:type="gramEnd"/>
      <w:r w:rsidRPr="007A7F80">
        <w:rPr>
          <w:color w:val="312783" w:themeColor="accent1"/>
          <w:sz w:val="20"/>
          <w:szCs w:val="20"/>
        </w:rPr>
        <w:t xml:space="preserve"> Guidelines 4 and 5 on notification and documentation requirements sufficiently proportionate? EIOPA welcomes concrete operational examples as to how to ensure that the principle of proportionality is effectively reflected in these Guidelines.</w:t>
      </w:r>
    </w:p>
    <w:p w:rsidR="001C65A6" w:rsidRPr="007A7F80" w:rsidRDefault="001C65A6" w:rsidP="001C65A6">
      <w:pPr>
        <w:pStyle w:val="Textedesaisie"/>
        <w:rPr>
          <w:sz w:val="20"/>
          <w:szCs w:val="20"/>
        </w:rPr>
      </w:pPr>
      <w:r w:rsidRPr="007A7F80">
        <w:rPr>
          <w:bCs/>
          <w:iCs/>
          <w:sz w:val="20"/>
          <w:szCs w:val="20"/>
        </w:rPr>
        <w:t>As a general principle it seems excessive to apply, beyond what is required from the very cloud services specificities, more stringent governance rules to the cloud outsourcing process than those required to be complied with for the outsourcing of key functions.</w:t>
      </w:r>
    </w:p>
    <w:p w:rsidR="001C65A6" w:rsidRPr="007A7F80" w:rsidRDefault="001C65A6" w:rsidP="001C65A6">
      <w:pPr>
        <w:pStyle w:val="Textedesaisie"/>
        <w:rPr>
          <w:bCs/>
          <w:iCs/>
          <w:sz w:val="20"/>
          <w:szCs w:val="20"/>
        </w:rPr>
      </w:pPr>
      <w:r w:rsidRPr="007A7F80">
        <w:rPr>
          <w:bCs/>
          <w:iCs/>
          <w:sz w:val="20"/>
          <w:szCs w:val="20"/>
        </w:rPr>
        <w:t>Undertakings should be given some flexibility in the way they follow-up on and monitor, in compliance with Solvency 2 requirements, their Solvency 2 outsourcing arrangements. In the future a wide range of tools may become available which would render the suggested “register” obsolete. Furthermore, the register proposed in the Guidelines and the information requested to be populated therein appear in practice hardly manageable for the undertakings considering, in particular, the number of contributors the ongoing update of such a register would involve without clear added-value for the undertakings as long as they keep strict record of their arrangements and have tools in place to duly monitor the various aspects of the arrangements in force.</w:t>
      </w:r>
    </w:p>
    <w:tbl>
      <w:tblPr>
        <w:tblStyle w:val="Grilledutableau"/>
        <w:tblW w:w="0" w:type="auto"/>
        <w:tblLook w:val="04A0" w:firstRow="1" w:lastRow="0" w:firstColumn="1" w:lastColumn="0" w:noHBand="0" w:noVBand="1"/>
      </w:tblPr>
      <w:tblGrid>
        <w:gridCol w:w="9628"/>
      </w:tblGrid>
      <w:tr w:rsidR="00591254" w:rsidRPr="007A7F80" w:rsidTr="00591254">
        <w:tc>
          <w:tcPr>
            <w:tcW w:w="9628" w:type="dxa"/>
            <w:shd w:val="clear" w:color="auto" w:fill="D8D8D8" w:themeFill="accent6"/>
          </w:tcPr>
          <w:p w:rsidR="00591254" w:rsidRPr="007A7F80" w:rsidRDefault="00591254" w:rsidP="00591254">
            <w:pPr>
              <w:pStyle w:val="Textedesaisie"/>
              <w:rPr>
                <w:bCs/>
                <w:iCs/>
                <w:sz w:val="20"/>
                <w:szCs w:val="20"/>
              </w:rPr>
            </w:pPr>
            <w:r w:rsidRPr="007A7F80">
              <w:rPr>
                <w:bCs/>
                <w:iCs/>
                <w:sz w:val="20"/>
                <w:szCs w:val="20"/>
              </w:rPr>
              <w:t xml:space="preserve">Conclusion: </w:t>
            </w:r>
            <w:r w:rsidRPr="007A7F80">
              <w:rPr>
                <w:sz w:val="20"/>
                <w:szCs w:val="20"/>
              </w:rPr>
              <w:t>As explained in our general comments, the guidelines suffer from a lack of proportionality; the best way to ensure proportionality is to restrict the scope of the guidelines to cloud service arrangements regarding critical or important function or activity</w:t>
            </w:r>
            <w:r w:rsidR="00053B4E" w:rsidRPr="007A7F80">
              <w:rPr>
                <w:sz w:val="20"/>
                <w:szCs w:val="20"/>
              </w:rPr>
              <w:t xml:space="preserve"> and stay in line with Solvency 2 requirements regarding outsourcing arrangements.</w:t>
            </w:r>
          </w:p>
          <w:p w:rsidR="00591254" w:rsidRPr="007A7F80" w:rsidRDefault="00591254" w:rsidP="001C65A6">
            <w:pPr>
              <w:pStyle w:val="Textedesaisie"/>
              <w:rPr>
                <w:bCs/>
                <w:iCs/>
                <w:sz w:val="20"/>
                <w:szCs w:val="20"/>
              </w:rPr>
            </w:pPr>
          </w:p>
        </w:tc>
      </w:tr>
    </w:tbl>
    <w:p w:rsidR="00591254" w:rsidRPr="007A7F80" w:rsidRDefault="00591254" w:rsidP="001C65A6">
      <w:pPr>
        <w:pStyle w:val="Textedesaisie"/>
        <w:rPr>
          <w:bCs/>
          <w:iCs/>
          <w:sz w:val="20"/>
          <w:szCs w:val="20"/>
        </w:rPr>
      </w:pPr>
    </w:p>
    <w:p w:rsidR="006C09A0" w:rsidRPr="007A7F80" w:rsidRDefault="006C09A0" w:rsidP="001C65A6">
      <w:pPr>
        <w:pStyle w:val="Textedesaisie"/>
        <w:rPr>
          <w:bCs/>
          <w:iCs/>
          <w:color w:val="312783" w:themeColor="text2"/>
          <w:sz w:val="20"/>
          <w:szCs w:val="20"/>
        </w:rPr>
      </w:pPr>
      <w:r w:rsidRPr="007A7F80">
        <w:rPr>
          <w:bCs/>
          <w:iCs/>
          <w:color w:val="312783" w:themeColor="text2"/>
          <w:sz w:val="20"/>
          <w:szCs w:val="20"/>
        </w:rPr>
        <w:t xml:space="preserve">GL </w:t>
      </w:r>
      <w:r w:rsidR="003337EF" w:rsidRPr="007A7F80">
        <w:rPr>
          <w:bCs/>
          <w:iCs/>
          <w:color w:val="312783" w:themeColor="text2"/>
          <w:sz w:val="20"/>
          <w:szCs w:val="20"/>
        </w:rPr>
        <w:t>13 Sub-outsourcing</w:t>
      </w:r>
    </w:p>
    <w:p w:rsidR="003337EF" w:rsidRPr="007A7F80" w:rsidRDefault="003337EF" w:rsidP="001C65A6">
      <w:pPr>
        <w:pStyle w:val="Textedesaisie"/>
        <w:rPr>
          <w:bCs/>
          <w:iCs/>
          <w:sz w:val="20"/>
          <w:szCs w:val="20"/>
        </w:rPr>
      </w:pPr>
      <w:r w:rsidRPr="007A7F80">
        <w:rPr>
          <w:bCs/>
          <w:iCs/>
          <w:sz w:val="20"/>
          <w:szCs w:val="20"/>
        </w:rPr>
        <w:t xml:space="preserve">For the FFA, </w:t>
      </w:r>
      <w:r w:rsidR="00AC70C5" w:rsidRPr="007A7F80">
        <w:rPr>
          <w:bCs/>
          <w:iCs/>
          <w:sz w:val="20"/>
          <w:szCs w:val="20"/>
        </w:rPr>
        <w:t xml:space="preserve">it should be a general </w:t>
      </w:r>
      <w:r w:rsidR="002C32EE" w:rsidRPr="007A7F80">
        <w:rPr>
          <w:bCs/>
          <w:iCs/>
          <w:sz w:val="20"/>
          <w:szCs w:val="20"/>
        </w:rPr>
        <w:t>rule:</w:t>
      </w:r>
      <w:r w:rsidR="00AC70C5" w:rsidRPr="007A7F80">
        <w:rPr>
          <w:bCs/>
          <w:iCs/>
          <w:sz w:val="20"/>
          <w:szCs w:val="20"/>
        </w:rPr>
        <w:t xml:space="preserve"> all sub-</w:t>
      </w:r>
      <w:r w:rsidR="00D65B56" w:rsidRPr="007A7F80">
        <w:rPr>
          <w:bCs/>
          <w:iCs/>
          <w:sz w:val="20"/>
          <w:szCs w:val="20"/>
        </w:rPr>
        <w:t>outsourcing arrangements</w:t>
      </w:r>
      <w:r w:rsidR="00AC70C5" w:rsidRPr="007A7F80">
        <w:rPr>
          <w:bCs/>
          <w:iCs/>
          <w:sz w:val="20"/>
          <w:szCs w:val="20"/>
        </w:rPr>
        <w:t xml:space="preserve"> are prohibited except </w:t>
      </w:r>
      <w:r w:rsidR="00D65B56" w:rsidRPr="007A7F80">
        <w:rPr>
          <w:bCs/>
          <w:iCs/>
          <w:sz w:val="20"/>
          <w:szCs w:val="20"/>
        </w:rPr>
        <w:t xml:space="preserve">those which are explicitly </w:t>
      </w:r>
      <w:r w:rsidR="005D04B2" w:rsidRPr="007A7F80">
        <w:rPr>
          <w:bCs/>
          <w:iCs/>
          <w:sz w:val="20"/>
          <w:szCs w:val="20"/>
        </w:rPr>
        <w:t>authorized</w:t>
      </w:r>
      <w:r w:rsidR="00D65B56" w:rsidRPr="007A7F80">
        <w:rPr>
          <w:bCs/>
          <w:iCs/>
          <w:sz w:val="20"/>
          <w:szCs w:val="20"/>
        </w:rPr>
        <w:t xml:space="preserve"> by the insurance company</w:t>
      </w:r>
      <w:r w:rsidR="005D04B2" w:rsidRPr="007A7F80">
        <w:rPr>
          <w:bCs/>
          <w:iCs/>
          <w:sz w:val="20"/>
          <w:szCs w:val="20"/>
        </w:rPr>
        <w:t>, p</w:t>
      </w:r>
      <w:r w:rsidR="00D65B56" w:rsidRPr="007A7F80">
        <w:rPr>
          <w:bCs/>
          <w:iCs/>
          <w:sz w:val="20"/>
          <w:szCs w:val="20"/>
        </w:rPr>
        <w:t>aragraph 53 should be amended accordingly.</w:t>
      </w:r>
    </w:p>
    <w:p w:rsidR="002C32EE" w:rsidRPr="00D971D3" w:rsidRDefault="00587D58" w:rsidP="00D971D3">
      <w:pPr>
        <w:pStyle w:val="Textedesaisie"/>
      </w:pPr>
      <w:r w:rsidRPr="007A7F80">
        <w:rPr>
          <w:bCs/>
          <w:iCs/>
          <w:sz w:val="20"/>
          <w:szCs w:val="20"/>
        </w:rPr>
        <w:t>Furthermore, it is impossible for an insurance company to control all sub-</w:t>
      </w:r>
      <w:r w:rsidR="00D971D3" w:rsidRPr="007A7F80">
        <w:rPr>
          <w:bCs/>
          <w:iCs/>
          <w:sz w:val="20"/>
          <w:szCs w:val="20"/>
        </w:rPr>
        <w:t>outsourcers;</w:t>
      </w:r>
      <w:r w:rsidRPr="007A7F80">
        <w:rPr>
          <w:bCs/>
          <w:iCs/>
          <w:sz w:val="20"/>
          <w:szCs w:val="20"/>
        </w:rPr>
        <w:t xml:space="preserve"> the control should be restricted to outsourcer who are contractually bound to the insurance company ; sub-outsourcers must be controlled by the cloud service provider</w:t>
      </w:r>
      <w:r w:rsidR="005D04B2" w:rsidRPr="007A7F80">
        <w:rPr>
          <w:bCs/>
          <w:iCs/>
          <w:sz w:val="20"/>
          <w:szCs w:val="20"/>
        </w:rPr>
        <w:t>.</w:t>
      </w:r>
      <w:r w:rsidR="00A37817" w:rsidRPr="007A7F80">
        <w:rPr>
          <w:sz w:val="20"/>
          <w:szCs w:val="20"/>
        </w:rPr>
        <w:t xml:space="preserve"> </w:t>
      </w:r>
      <w:r w:rsidR="00A37817" w:rsidRPr="00D971D3">
        <w:rPr>
          <w:bCs/>
          <w:iCs/>
          <w:sz w:val="20"/>
          <w:szCs w:val="20"/>
        </w:rPr>
        <w:t xml:space="preserve">One </w:t>
      </w:r>
      <w:r w:rsidR="00D971D3" w:rsidRPr="00D971D3">
        <w:rPr>
          <w:bCs/>
          <w:iCs/>
          <w:sz w:val="20"/>
          <w:szCs w:val="20"/>
        </w:rPr>
        <w:t xml:space="preserve">possibility could be, for the insurer, to ask </w:t>
      </w:r>
      <w:r w:rsidR="00AE792D" w:rsidRPr="00D971D3">
        <w:rPr>
          <w:bCs/>
          <w:iCs/>
          <w:sz w:val="20"/>
          <w:szCs w:val="20"/>
        </w:rPr>
        <w:t xml:space="preserve">for </w:t>
      </w:r>
      <w:r w:rsidR="00AE792D">
        <w:rPr>
          <w:bCs/>
          <w:iCs/>
          <w:sz w:val="20"/>
          <w:szCs w:val="20"/>
        </w:rPr>
        <w:t xml:space="preserve">the </w:t>
      </w:r>
      <w:r w:rsidR="00AE792D" w:rsidRPr="00D971D3">
        <w:rPr>
          <w:bCs/>
          <w:iCs/>
          <w:sz w:val="20"/>
          <w:szCs w:val="20"/>
        </w:rPr>
        <w:t xml:space="preserve">own outsourcing policy </w:t>
      </w:r>
      <w:r w:rsidR="00AE792D">
        <w:rPr>
          <w:bCs/>
          <w:iCs/>
          <w:sz w:val="20"/>
          <w:szCs w:val="20"/>
        </w:rPr>
        <w:t>of</w:t>
      </w:r>
      <w:r w:rsidR="00D971D3" w:rsidRPr="00D971D3">
        <w:rPr>
          <w:bCs/>
          <w:iCs/>
          <w:sz w:val="20"/>
          <w:szCs w:val="20"/>
        </w:rPr>
        <w:t xml:space="preserve"> the cloud service provider</w:t>
      </w:r>
      <w:r w:rsidR="00AE792D">
        <w:rPr>
          <w:bCs/>
          <w:iCs/>
          <w:sz w:val="20"/>
          <w:szCs w:val="20"/>
        </w:rPr>
        <w:t>.</w:t>
      </w:r>
    </w:p>
    <w:p w:rsidR="007A7F80" w:rsidRPr="00D971D3" w:rsidRDefault="007A7F80" w:rsidP="00BB4C49">
      <w:pPr>
        <w:pStyle w:val="Textedesaisie"/>
      </w:pPr>
    </w:p>
    <w:p w:rsidR="007A7F80" w:rsidRPr="00D971D3" w:rsidRDefault="007A7F80" w:rsidP="00BB4C49">
      <w:pPr>
        <w:pStyle w:val="Textedesaisie"/>
      </w:pPr>
    </w:p>
    <w:p w:rsidR="003B4396" w:rsidRPr="00390699" w:rsidRDefault="003B4396" w:rsidP="003B4396">
      <w:pPr>
        <w:pStyle w:val="Textedesaisie"/>
        <w:jc w:val="center"/>
        <w:rPr>
          <w:lang w:val="fr-FR"/>
        </w:rPr>
      </w:pPr>
      <w:r>
        <w:rPr>
          <w:lang w:val="fr-FR"/>
        </w:rPr>
        <w:t>-----------------</w:t>
      </w:r>
    </w:p>
    <w:sectPr w:rsidR="003B4396" w:rsidRPr="00390699" w:rsidSect="007A7F80">
      <w:headerReference w:type="even" r:id="rId14"/>
      <w:headerReference w:type="default" r:id="rId15"/>
      <w:footerReference w:type="default" r:id="rId16"/>
      <w:headerReference w:type="first" r:id="rId17"/>
      <w:type w:val="continuous"/>
      <w:pgSz w:w="11906" w:h="16838" w:code="9"/>
      <w:pgMar w:top="851" w:right="1134" w:bottom="680" w:left="113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47D6" w:rsidRDefault="00B347D6" w:rsidP="008F44A4">
      <w:r>
        <w:separator/>
      </w:r>
    </w:p>
  </w:endnote>
  <w:endnote w:type="continuationSeparator" w:id="0">
    <w:p w:rsidR="00B347D6" w:rsidRDefault="00B347D6" w:rsidP="008F4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1396" w:rsidRDefault="0014139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1396" w:rsidRDefault="0014139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1396" w:rsidRDefault="00141396">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1AB6" w:rsidRPr="00A91AB6" w:rsidRDefault="00A91AB6" w:rsidP="00A91AB6">
    <w:pPr>
      <w:pStyle w:val="Pieddepage"/>
    </w:pPr>
  </w:p>
  <w:p w:rsidR="00BB4C49" w:rsidRPr="00A91AB6" w:rsidRDefault="00A91AB6" w:rsidP="00A91AB6">
    <w:pPr>
      <w:pStyle w:val="Pieddepage"/>
      <w:jc w:val="right"/>
      <w:rPr>
        <w:b/>
        <w:sz w:val="18"/>
        <w:szCs w:val="18"/>
        <w:lang w:val="fr-FR"/>
      </w:rPr>
    </w:pPr>
    <w:r w:rsidRPr="00A91AB6">
      <w:rPr>
        <w:b/>
        <w:sz w:val="18"/>
        <w:szCs w:val="18"/>
        <w:lang w:val="fr-FR"/>
      </w:rPr>
      <w:fldChar w:fldCharType="begin"/>
    </w:r>
    <w:r w:rsidRPr="00A91AB6">
      <w:rPr>
        <w:b/>
        <w:sz w:val="18"/>
        <w:szCs w:val="18"/>
        <w:lang w:val="fr-FR"/>
      </w:rPr>
      <w:instrText xml:space="preserve"> PAGE  \* Arabic  \* MERGEFORMAT </w:instrText>
    </w:r>
    <w:r w:rsidRPr="00A91AB6">
      <w:rPr>
        <w:b/>
        <w:sz w:val="18"/>
        <w:szCs w:val="18"/>
        <w:lang w:val="fr-FR"/>
      </w:rPr>
      <w:fldChar w:fldCharType="separate"/>
    </w:r>
    <w:r w:rsidR="004B2ED6">
      <w:rPr>
        <w:b/>
        <w:noProof/>
        <w:sz w:val="18"/>
        <w:szCs w:val="18"/>
        <w:lang w:val="fr-FR"/>
      </w:rPr>
      <w:t>2</w:t>
    </w:r>
    <w:r w:rsidRPr="00A91AB6">
      <w:rPr>
        <w:b/>
        <w:sz w:val="18"/>
        <w:szCs w:val="18"/>
        <w:lang w:val="fr-FR"/>
      </w:rPr>
      <w:fldChar w:fldCharType="end"/>
    </w:r>
  </w:p>
  <w:p w:rsidR="00A91AB6" w:rsidRDefault="00A91AB6" w:rsidP="00A91AB6">
    <w:pPr>
      <w:pStyle w:val="Pieddepage"/>
      <w:spacing w:line="160" w:lineRule="exact"/>
      <w:rPr>
        <w:lang w:val="fr-FR"/>
      </w:rPr>
    </w:pPr>
  </w:p>
  <w:p w:rsidR="00A91AB6" w:rsidRPr="00A91AB6" w:rsidRDefault="00A91AB6">
    <w:pPr>
      <w:pStyle w:val="Pieddepag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47D6" w:rsidRDefault="00B347D6" w:rsidP="008F44A4">
      <w:r>
        <w:separator/>
      </w:r>
    </w:p>
  </w:footnote>
  <w:footnote w:type="continuationSeparator" w:id="0">
    <w:p w:rsidR="00B347D6" w:rsidRDefault="00B347D6" w:rsidP="008F44A4">
      <w:r>
        <w:continuationSeparator/>
      </w:r>
    </w:p>
  </w:footnote>
  <w:footnote w:id="1">
    <w:p w:rsidR="006E4C15" w:rsidRPr="006E4C15" w:rsidRDefault="006E4C15">
      <w:pPr>
        <w:pStyle w:val="Notedebasdepage"/>
        <w:rPr>
          <w:sz w:val="16"/>
          <w:szCs w:val="16"/>
        </w:rPr>
      </w:pPr>
      <w:r>
        <w:rPr>
          <w:rStyle w:val="Appelnotedebasdep"/>
        </w:rPr>
        <w:footnoteRef/>
      </w:r>
      <w:r>
        <w:t xml:space="preserve"> </w:t>
      </w:r>
      <w:r w:rsidRPr="006E4C15">
        <w:rPr>
          <w:sz w:val="16"/>
          <w:szCs w:val="16"/>
        </w:rPr>
        <w:t>See Solvency 2 Directive 2009/138, delegated regulation 20</w:t>
      </w:r>
      <w:r w:rsidR="00F742EE">
        <w:rPr>
          <w:sz w:val="16"/>
          <w:szCs w:val="16"/>
        </w:rPr>
        <w:t>15</w:t>
      </w:r>
      <w:r w:rsidRPr="006E4C15">
        <w:rPr>
          <w:sz w:val="16"/>
          <w:szCs w:val="16"/>
        </w:rPr>
        <w:t>/</w:t>
      </w:r>
      <w:r w:rsidR="00F742EE">
        <w:rPr>
          <w:sz w:val="16"/>
          <w:szCs w:val="16"/>
        </w:rPr>
        <w:t>35</w:t>
      </w:r>
      <w:r w:rsidRPr="006E4C15">
        <w:rPr>
          <w:sz w:val="16"/>
          <w:szCs w:val="16"/>
        </w:rPr>
        <w:t>, EIOPA’s Guidelines on system of governance, RGPD 2016/679</w:t>
      </w:r>
    </w:p>
  </w:footnote>
  <w:footnote w:id="2">
    <w:p w:rsidR="002E3661" w:rsidRPr="007E4DEF" w:rsidRDefault="002E3661" w:rsidP="002E3661">
      <w:pPr>
        <w:pStyle w:val="Notedebasdepage"/>
        <w:rPr>
          <w:sz w:val="16"/>
          <w:szCs w:val="16"/>
        </w:rPr>
      </w:pPr>
      <w:r>
        <w:rPr>
          <w:rStyle w:val="Appelnotedebasdep"/>
        </w:rPr>
        <w:footnoteRef/>
      </w:r>
      <w:r>
        <w:t xml:space="preserve"> “</w:t>
      </w:r>
      <w:r w:rsidRPr="007270E7">
        <w:rPr>
          <w:i/>
          <w:sz w:val="16"/>
          <w:szCs w:val="16"/>
        </w:rPr>
        <w:t xml:space="preserve">A function is an administrative capacity to undertake particular governance tasks. The identification of a </w:t>
      </w:r>
      <w:proofErr w:type="gramStart"/>
      <w:r w:rsidRPr="007270E7">
        <w:rPr>
          <w:i/>
          <w:sz w:val="16"/>
          <w:szCs w:val="16"/>
        </w:rPr>
        <w:t>particular function</w:t>
      </w:r>
      <w:proofErr w:type="gramEnd"/>
      <w:r w:rsidRPr="007270E7">
        <w:rPr>
          <w:i/>
          <w:sz w:val="16"/>
          <w:szCs w:val="16"/>
        </w:rPr>
        <w:t xml:space="preserve"> does not prevent the undertaking from freely deciding how to organize that function in practice save where otherwise specified in this Directive. This should not lead to unduly burdensome requirements because account should be taken of the nature, scale and complexity of the operations of the undertaking. It should therefore be possible for those functions to be staffed by own staff, to rely on advice from outside experts or to be outsourced to experts within the limits set by this Directive</w:t>
      </w:r>
      <w:r w:rsidRPr="007E4DEF">
        <w:rPr>
          <w:sz w:val="16"/>
          <w:szCs w:val="16"/>
        </w:rPr>
        <w:t>.</w:t>
      </w:r>
      <w:r>
        <w:rPr>
          <w:sz w:val="16"/>
          <w:szCs w:val="16"/>
        </w:rPr>
        <w:t>”</w:t>
      </w:r>
      <w:r w:rsidR="007270E7">
        <w:rPr>
          <w:sz w:val="16"/>
          <w:szCs w:val="16"/>
        </w:rPr>
        <w:t xml:space="preserve"> And “</w:t>
      </w:r>
      <w:r w:rsidR="007270E7" w:rsidRPr="007270E7">
        <w:rPr>
          <w:sz w:val="16"/>
          <w:szCs w:val="16"/>
        </w:rPr>
        <w:t>‘function</w:t>
      </w:r>
      <w:r w:rsidR="007270E7">
        <w:rPr>
          <w:sz w:val="16"/>
          <w:szCs w:val="16"/>
        </w:rPr>
        <w:t xml:space="preserve">: </w:t>
      </w:r>
      <w:r w:rsidR="007270E7" w:rsidRPr="007270E7">
        <w:rPr>
          <w:sz w:val="16"/>
          <w:szCs w:val="16"/>
        </w:rPr>
        <w:t xml:space="preserve"> </w:t>
      </w:r>
      <w:r w:rsidR="007270E7" w:rsidRPr="007270E7">
        <w:rPr>
          <w:i/>
          <w:sz w:val="16"/>
          <w:szCs w:val="16"/>
        </w:rPr>
        <w:t>within a system of governance, means an internal capacity to undertake practical tasks; a system of governance includes the risk-management function, the compliance function, the internal audit function and the actuarial function</w:t>
      </w:r>
      <w:r w:rsidR="007270E7" w:rsidRPr="007270E7">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1396" w:rsidRDefault="0014139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pPr w:vertAnchor="page" w:horzAnchor="margin" w:tblpYSpec="bottom"/>
      <w:tblOverlap w:val="never"/>
      <w:tblW w:w="9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8"/>
    </w:tblGrid>
    <w:tr w:rsidR="00C04085" w:rsidTr="002E1633">
      <w:tc>
        <w:tcPr>
          <w:tcW w:w="9638" w:type="dxa"/>
        </w:tcPr>
        <w:p w:rsidR="00C04085" w:rsidRDefault="00C04085" w:rsidP="00C04085">
          <w:pPr>
            <w:pStyle w:val="Boilerplate"/>
          </w:pPr>
        </w:p>
      </w:tc>
    </w:tr>
    <w:tr w:rsidR="00C04085" w:rsidRPr="000558A2" w:rsidTr="002E1633">
      <w:tc>
        <w:tcPr>
          <w:tcW w:w="9638" w:type="dxa"/>
        </w:tcPr>
        <w:p w:rsidR="00390699" w:rsidRPr="00795BE2" w:rsidRDefault="00390699" w:rsidP="00390699">
          <w:pPr>
            <w:pStyle w:val="Boilerplate"/>
            <w:rPr>
              <w:b/>
              <w:i w:val="0"/>
              <w:lang w:val="fr-FR"/>
            </w:rPr>
          </w:pPr>
          <w:r w:rsidRPr="00795BE2">
            <w:rPr>
              <w:b/>
              <w:i w:val="0"/>
              <w:lang w:val="fr-FR"/>
            </w:rPr>
            <w:t>A propos de la FFA</w:t>
          </w:r>
        </w:p>
        <w:p w:rsidR="00390699" w:rsidRPr="00390699" w:rsidRDefault="00390699" w:rsidP="00390699">
          <w:pPr>
            <w:pStyle w:val="Boilerplate"/>
            <w:rPr>
              <w:lang w:val="fr-FR"/>
            </w:rPr>
          </w:pPr>
          <w:r w:rsidRPr="00390699">
            <w:rPr>
              <w:lang w:val="fr-FR"/>
            </w:rPr>
            <w:t xml:space="preserve">La Fédération française de l’assurance (FFA) rassemble les entreprises d’assurance et de réassurance opérant en France, soit 280 sociétés représentant plus de 99% du marché français. La mission principale de la FFA est de préserver l’ensemble du champ économique et social en relation avec les activités assurantielles. Elle représente l’assurance auprès des pouvoirs publics nationaux, européens et internationaux, des institutions et des autorités administratives ou de place. Elle offre un lieu de concertation et d’analyse des questions financières, technique ou juridiques, elle fournit les données statistiques essentielles de la profession et informe le public et les médias. La FFA promeut également les actions de prévention et la place de l’assurance dans le monde académique et la formation. </w:t>
          </w:r>
        </w:p>
        <w:p w:rsidR="00C04085" w:rsidRPr="00390699" w:rsidRDefault="00390699" w:rsidP="00390699">
          <w:pPr>
            <w:pStyle w:val="Boilerplate"/>
            <w:rPr>
              <w:lang w:val="fr-FR"/>
            </w:rPr>
          </w:pPr>
          <w:r w:rsidRPr="00390699">
            <w:rPr>
              <w:lang w:val="fr-FR"/>
            </w:rPr>
            <w:t xml:space="preserve">Pour plus d’information, rendez-vous sur </w:t>
          </w:r>
          <w:r w:rsidR="00FD42C4">
            <w:fldChar w:fldCharType="begin"/>
          </w:r>
          <w:r w:rsidR="00FD42C4" w:rsidRPr="000558A2">
            <w:rPr>
              <w:lang w:val="fr-FR"/>
            </w:rPr>
            <w:instrText xml:space="preserve"> HYPERLINK "http://www.ffa-assurance.fr" </w:instrText>
          </w:r>
          <w:r w:rsidR="00FD42C4">
            <w:fldChar w:fldCharType="separate"/>
          </w:r>
          <w:r w:rsidRPr="00320EE3">
            <w:rPr>
              <w:rStyle w:val="Lienhypertexte"/>
              <w:color w:val="312783" w:themeColor="accent1"/>
              <w:u w:val="none"/>
              <w:lang w:val="fr-FR"/>
            </w:rPr>
            <w:t>www.ffa-assurance.fr</w:t>
          </w:r>
          <w:r w:rsidR="00FD42C4">
            <w:rPr>
              <w:rStyle w:val="Lienhypertexte"/>
              <w:color w:val="312783" w:themeColor="accent1"/>
              <w:u w:val="none"/>
              <w:lang w:val="fr-FR"/>
            </w:rPr>
            <w:fldChar w:fldCharType="end"/>
          </w:r>
        </w:p>
      </w:tc>
    </w:tr>
    <w:tr w:rsidR="00C04085" w:rsidRPr="000558A2" w:rsidTr="002E1633">
      <w:trPr>
        <w:trHeight w:val="737"/>
      </w:trPr>
      <w:tc>
        <w:tcPr>
          <w:tcW w:w="9638" w:type="dxa"/>
        </w:tcPr>
        <w:p w:rsidR="00C04085" w:rsidRPr="00390699" w:rsidRDefault="00C04085" w:rsidP="00C04085">
          <w:pPr>
            <w:pStyle w:val="Titreboilerplate"/>
            <w:rPr>
              <w:lang w:val="fr-FR"/>
            </w:rPr>
          </w:pPr>
        </w:p>
      </w:tc>
    </w:tr>
  </w:tbl>
  <w:p w:rsidR="00015BB6" w:rsidRDefault="007D4626">
    <w:pPr>
      <w:pStyle w:val="En-tte"/>
    </w:pPr>
    <w:r>
      <w:rPr>
        <w:noProof/>
        <w:lang w:val="fr-FR" w:eastAsia="fr-FR"/>
      </w:rPr>
      <w:drawing>
        <wp:anchor distT="0" distB="0" distL="114300" distR="114300" simplePos="0" relativeHeight="251658240" behindDoc="1" locked="0" layoutInCell="1" allowOverlap="1" wp14:anchorId="6A09768E" wp14:editId="08160CC4">
          <wp:simplePos x="0" y="0"/>
          <wp:positionH relativeFrom="page">
            <wp:posOffset>6185</wp:posOffset>
          </wp:positionH>
          <wp:positionV relativeFrom="page">
            <wp:posOffset>0</wp:posOffset>
          </wp:positionV>
          <wp:extent cx="7583629" cy="2376000"/>
          <wp:effectExtent l="0" t="0" r="0" b="571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FA_position-paper_tétier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83629" cy="2376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1396" w:rsidRDefault="00141396">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1396" w:rsidRDefault="00141396">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4C49" w:rsidRPr="008747E0" w:rsidRDefault="00BB4C49" w:rsidP="008747E0">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1396" w:rsidRDefault="0014139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CE22E4"/>
    <w:multiLevelType w:val="hybridMultilevel"/>
    <w:tmpl w:val="C8F61984"/>
    <w:lvl w:ilvl="0" w:tplc="439065A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86F2C85"/>
    <w:multiLevelType w:val="hybridMultilevel"/>
    <w:tmpl w:val="60CCE7F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150F1482"/>
    <w:multiLevelType w:val="hybridMultilevel"/>
    <w:tmpl w:val="E5F46F00"/>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1A6716B9"/>
    <w:multiLevelType w:val="hybridMultilevel"/>
    <w:tmpl w:val="6BA044C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440522E"/>
    <w:multiLevelType w:val="hybridMultilevel"/>
    <w:tmpl w:val="0DFE341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2A9D05B1"/>
    <w:multiLevelType w:val="hybridMultilevel"/>
    <w:tmpl w:val="1032AC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F7475B"/>
    <w:multiLevelType w:val="hybridMultilevel"/>
    <w:tmpl w:val="E026C0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BCA045C"/>
    <w:multiLevelType w:val="hybridMultilevel"/>
    <w:tmpl w:val="B4000F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5F91B36"/>
    <w:multiLevelType w:val="hybridMultilevel"/>
    <w:tmpl w:val="2C5644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6224B85"/>
    <w:multiLevelType w:val="hybridMultilevel"/>
    <w:tmpl w:val="3300D5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0E40216"/>
    <w:multiLevelType w:val="hybridMultilevel"/>
    <w:tmpl w:val="47E8137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51A45471"/>
    <w:multiLevelType w:val="hybridMultilevel"/>
    <w:tmpl w:val="334A019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9671556"/>
    <w:multiLevelType w:val="hybridMultilevel"/>
    <w:tmpl w:val="7942443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9B80D0B"/>
    <w:multiLevelType w:val="hybridMultilevel"/>
    <w:tmpl w:val="015EB776"/>
    <w:lvl w:ilvl="0" w:tplc="002AB26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D4E078E"/>
    <w:multiLevelType w:val="hybridMultilevel"/>
    <w:tmpl w:val="B95228C2"/>
    <w:lvl w:ilvl="0" w:tplc="CC264F18">
      <w:numFmt w:val="bullet"/>
      <w:lvlText w:val="-"/>
      <w:lvlJc w:val="left"/>
      <w:pPr>
        <w:ind w:left="720" w:hanging="360"/>
      </w:pPr>
      <w:rPr>
        <w:rFonts w:ascii="Arial" w:eastAsiaTheme="minorHAnsi" w:hAnsi="Arial" w:cs="Arial" w:hint="default"/>
        <w:b w:val="0"/>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4"/>
  </w:num>
  <w:num w:numId="13">
    <w:abstractNumId w:val="11"/>
  </w:num>
  <w:num w:numId="14">
    <w:abstractNumId w:val="23"/>
  </w:num>
  <w:num w:numId="15">
    <w:abstractNumId w:val="17"/>
  </w:num>
  <w:num w:numId="16">
    <w:abstractNumId w:val="20"/>
  </w:num>
  <w:num w:numId="17">
    <w:abstractNumId w:val="21"/>
  </w:num>
  <w:num w:numId="18">
    <w:abstractNumId w:val="12"/>
  </w:num>
  <w:num w:numId="19">
    <w:abstractNumId w:val="22"/>
  </w:num>
  <w:num w:numId="20">
    <w:abstractNumId w:val="15"/>
  </w:num>
  <w:num w:numId="21">
    <w:abstractNumId w:val="13"/>
  </w:num>
  <w:num w:numId="22">
    <w:abstractNumId w:val="19"/>
  </w:num>
  <w:num w:numId="23">
    <w:abstractNumId w:val="16"/>
  </w:num>
  <w:num w:numId="24">
    <w:abstractNumId w:val="18"/>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7D6"/>
    <w:rsid w:val="00000C5B"/>
    <w:rsid w:val="00015BB6"/>
    <w:rsid w:val="000403EF"/>
    <w:rsid w:val="000411D1"/>
    <w:rsid w:val="00047F15"/>
    <w:rsid w:val="00053B4E"/>
    <w:rsid w:val="000558A2"/>
    <w:rsid w:val="00056ECE"/>
    <w:rsid w:val="000A3D48"/>
    <w:rsid w:val="000B19AC"/>
    <w:rsid w:val="000C5CC0"/>
    <w:rsid w:val="000C711B"/>
    <w:rsid w:val="000E0712"/>
    <w:rsid w:val="000E0C04"/>
    <w:rsid w:val="0010270F"/>
    <w:rsid w:val="00113338"/>
    <w:rsid w:val="00117AB5"/>
    <w:rsid w:val="00140654"/>
    <w:rsid w:val="00141396"/>
    <w:rsid w:val="001525DD"/>
    <w:rsid w:val="00155637"/>
    <w:rsid w:val="00171DCD"/>
    <w:rsid w:val="00191E18"/>
    <w:rsid w:val="001A13A8"/>
    <w:rsid w:val="001A1D1C"/>
    <w:rsid w:val="001B7C1F"/>
    <w:rsid w:val="001C65A6"/>
    <w:rsid w:val="001F3D81"/>
    <w:rsid w:val="00200E95"/>
    <w:rsid w:val="00215CA2"/>
    <w:rsid w:val="00220DD3"/>
    <w:rsid w:val="0022766B"/>
    <w:rsid w:val="002346D6"/>
    <w:rsid w:val="00253D80"/>
    <w:rsid w:val="0027175D"/>
    <w:rsid w:val="002A0E53"/>
    <w:rsid w:val="002A1217"/>
    <w:rsid w:val="002C32EE"/>
    <w:rsid w:val="002D13C3"/>
    <w:rsid w:val="002E161A"/>
    <w:rsid w:val="002E3661"/>
    <w:rsid w:val="00310324"/>
    <w:rsid w:val="00320EE3"/>
    <w:rsid w:val="003274DB"/>
    <w:rsid w:val="003279ED"/>
    <w:rsid w:val="003337EF"/>
    <w:rsid w:val="00373F89"/>
    <w:rsid w:val="00390699"/>
    <w:rsid w:val="00396757"/>
    <w:rsid w:val="003A0FEE"/>
    <w:rsid w:val="003B4396"/>
    <w:rsid w:val="003C7C34"/>
    <w:rsid w:val="003F2FB5"/>
    <w:rsid w:val="0041320D"/>
    <w:rsid w:val="0041333D"/>
    <w:rsid w:val="00416D4E"/>
    <w:rsid w:val="00456F10"/>
    <w:rsid w:val="004613A2"/>
    <w:rsid w:val="00477024"/>
    <w:rsid w:val="00477C2A"/>
    <w:rsid w:val="00492075"/>
    <w:rsid w:val="004B2ED6"/>
    <w:rsid w:val="004B3D67"/>
    <w:rsid w:val="004B5E2A"/>
    <w:rsid w:val="004D4CA2"/>
    <w:rsid w:val="004E6D46"/>
    <w:rsid w:val="004F3F0C"/>
    <w:rsid w:val="0051247C"/>
    <w:rsid w:val="00526884"/>
    <w:rsid w:val="005474BD"/>
    <w:rsid w:val="00556DCE"/>
    <w:rsid w:val="00565A66"/>
    <w:rsid w:val="005775FB"/>
    <w:rsid w:val="00587D58"/>
    <w:rsid w:val="00587EEF"/>
    <w:rsid w:val="00591254"/>
    <w:rsid w:val="00591B08"/>
    <w:rsid w:val="0059637B"/>
    <w:rsid w:val="005A0BDD"/>
    <w:rsid w:val="005C4C24"/>
    <w:rsid w:val="005D04B2"/>
    <w:rsid w:val="005D31AD"/>
    <w:rsid w:val="005E17C0"/>
    <w:rsid w:val="00603978"/>
    <w:rsid w:val="006044E4"/>
    <w:rsid w:val="00613324"/>
    <w:rsid w:val="00620036"/>
    <w:rsid w:val="006221FC"/>
    <w:rsid w:val="00644EA7"/>
    <w:rsid w:val="00675B8F"/>
    <w:rsid w:val="006B3F58"/>
    <w:rsid w:val="006B77AF"/>
    <w:rsid w:val="006C09A0"/>
    <w:rsid w:val="006D2ADE"/>
    <w:rsid w:val="006D2DF7"/>
    <w:rsid w:val="006E4C15"/>
    <w:rsid w:val="006F7B0E"/>
    <w:rsid w:val="007074E1"/>
    <w:rsid w:val="007074EF"/>
    <w:rsid w:val="0072065C"/>
    <w:rsid w:val="007232EF"/>
    <w:rsid w:val="0072530C"/>
    <w:rsid w:val="007264BD"/>
    <w:rsid w:val="007270E7"/>
    <w:rsid w:val="00733EE0"/>
    <w:rsid w:val="0073418A"/>
    <w:rsid w:val="00757E07"/>
    <w:rsid w:val="00795BE2"/>
    <w:rsid w:val="007A2136"/>
    <w:rsid w:val="007A7F80"/>
    <w:rsid w:val="007C0B83"/>
    <w:rsid w:val="007C316A"/>
    <w:rsid w:val="007D2107"/>
    <w:rsid w:val="007D3559"/>
    <w:rsid w:val="007D4626"/>
    <w:rsid w:val="007E4DEF"/>
    <w:rsid w:val="007F7544"/>
    <w:rsid w:val="00816F36"/>
    <w:rsid w:val="00820751"/>
    <w:rsid w:val="00840EBA"/>
    <w:rsid w:val="00841D0F"/>
    <w:rsid w:val="00850690"/>
    <w:rsid w:val="00856CA3"/>
    <w:rsid w:val="00866E1A"/>
    <w:rsid w:val="00867270"/>
    <w:rsid w:val="008747E0"/>
    <w:rsid w:val="00897715"/>
    <w:rsid w:val="008D2D2D"/>
    <w:rsid w:val="008D56C8"/>
    <w:rsid w:val="008F4416"/>
    <w:rsid w:val="008F44A4"/>
    <w:rsid w:val="0090659A"/>
    <w:rsid w:val="00910BB2"/>
    <w:rsid w:val="00924A29"/>
    <w:rsid w:val="00943160"/>
    <w:rsid w:val="00961184"/>
    <w:rsid w:val="009675D7"/>
    <w:rsid w:val="00971591"/>
    <w:rsid w:val="00972B00"/>
    <w:rsid w:val="009764FA"/>
    <w:rsid w:val="00976BB2"/>
    <w:rsid w:val="009A75D3"/>
    <w:rsid w:val="009B4643"/>
    <w:rsid w:val="00A142DF"/>
    <w:rsid w:val="00A30C4A"/>
    <w:rsid w:val="00A36A97"/>
    <w:rsid w:val="00A37817"/>
    <w:rsid w:val="00A525D5"/>
    <w:rsid w:val="00A71921"/>
    <w:rsid w:val="00A802F6"/>
    <w:rsid w:val="00A8396E"/>
    <w:rsid w:val="00A91AB6"/>
    <w:rsid w:val="00AA2886"/>
    <w:rsid w:val="00AC70C5"/>
    <w:rsid w:val="00AE00FD"/>
    <w:rsid w:val="00AE440C"/>
    <w:rsid w:val="00AE5386"/>
    <w:rsid w:val="00AE792D"/>
    <w:rsid w:val="00AF1E5D"/>
    <w:rsid w:val="00B04248"/>
    <w:rsid w:val="00B07B13"/>
    <w:rsid w:val="00B347D6"/>
    <w:rsid w:val="00B43ACE"/>
    <w:rsid w:val="00B850ED"/>
    <w:rsid w:val="00BA6580"/>
    <w:rsid w:val="00BB4C49"/>
    <w:rsid w:val="00BB5465"/>
    <w:rsid w:val="00BB662D"/>
    <w:rsid w:val="00C016D7"/>
    <w:rsid w:val="00C04073"/>
    <w:rsid w:val="00C04085"/>
    <w:rsid w:val="00C350ED"/>
    <w:rsid w:val="00C37B85"/>
    <w:rsid w:val="00C507EB"/>
    <w:rsid w:val="00C51493"/>
    <w:rsid w:val="00C77267"/>
    <w:rsid w:val="00C81162"/>
    <w:rsid w:val="00C9122B"/>
    <w:rsid w:val="00CA3DC6"/>
    <w:rsid w:val="00CD7364"/>
    <w:rsid w:val="00CE5E46"/>
    <w:rsid w:val="00D028B7"/>
    <w:rsid w:val="00D04E23"/>
    <w:rsid w:val="00D060E0"/>
    <w:rsid w:val="00D06C70"/>
    <w:rsid w:val="00D326FF"/>
    <w:rsid w:val="00D563DF"/>
    <w:rsid w:val="00D65B56"/>
    <w:rsid w:val="00D72DCA"/>
    <w:rsid w:val="00D871C2"/>
    <w:rsid w:val="00D971D3"/>
    <w:rsid w:val="00DB05A3"/>
    <w:rsid w:val="00DB7D11"/>
    <w:rsid w:val="00DD57F4"/>
    <w:rsid w:val="00DF3704"/>
    <w:rsid w:val="00E04563"/>
    <w:rsid w:val="00E12F44"/>
    <w:rsid w:val="00E174F1"/>
    <w:rsid w:val="00E246A6"/>
    <w:rsid w:val="00E24B0A"/>
    <w:rsid w:val="00E364CC"/>
    <w:rsid w:val="00E8614A"/>
    <w:rsid w:val="00E921D7"/>
    <w:rsid w:val="00EC7197"/>
    <w:rsid w:val="00ED6200"/>
    <w:rsid w:val="00EE0F14"/>
    <w:rsid w:val="00EE7D77"/>
    <w:rsid w:val="00EF0DC0"/>
    <w:rsid w:val="00F0033D"/>
    <w:rsid w:val="00F32029"/>
    <w:rsid w:val="00F40CC7"/>
    <w:rsid w:val="00F55690"/>
    <w:rsid w:val="00F67316"/>
    <w:rsid w:val="00F742EE"/>
    <w:rsid w:val="00FA6F91"/>
    <w:rsid w:val="00FB4804"/>
    <w:rsid w:val="00FC51A9"/>
    <w:rsid w:val="00FD42C4"/>
    <w:rsid w:val="00FD7200"/>
    <w:rsid w:val="00FF0592"/>
    <w:rsid w:val="00FF15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5ED7E05"/>
  <w15:docId w15:val="{20ED8F58-9CF7-46EE-8E9E-D75B2D714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F32029"/>
    <w:pPr>
      <w:spacing w:after="0" w:line="264" w:lineRule="atLeast"/>
    </w:pPr>
    <w:rPr>
      <w:lang w:val="en-US"/>
    </w:rPr>
  </w:style>
  <w:style w:type="paragraph" w:styleId="Titre1">
    <w:name w:val="heading 1"/>
    <w:basedOn w:val="Normal"/>
    <w:next w:val="Normal"/>
    <w:link w:val="Titre1Car"/>
    <w:uiPriority w:val="9"/>
    <w:rsid w:val="00F55690"/>
    <w:pPr>
      <w:spacing w:after="360" w:line="360" w:lineRule="atLeast"/>
      <w:outlineLvl w:val="0"/>
    </w:pPr>
    <w:rPr>
      <w:b/>
      <w:caps/>
      <w:color w:val="312783" w:themeColor="accent1"/>
      <w:sz w:val="30"/>
      <w:szCs w:val="30"/>
    </w:rPr>
  </w:style>
  <w:style w:type="paragraph" w:styleId="Titre2">
    <w:name w:val="heading 2"/>
    <w:basedOn w:val="Normal"/>
    <w:next w:val="Normal"/>
    <w:link w:val="Titre2Car"/>
    <w:uiPriority w:val="9"/>
    <w:unhideWhenUsed/>
    <w:rsid w:val="00F55690"/>
    <w:pPr>
      <w:spacing w:after="160" w:line="360" w:lineRule="atLeast"/>
      <w:outlineLvl w:val="1"/>
    </w:pPr>
    <w:rPr>
      <w:b/>
      <w:color w:val="312783" w:themeColor="accent1"/>
      <w:sz w:val="30"/>
      <w:szCs w:val="3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unhideWhenUsed/>
    <w:rsid w:val="008747E0"/>
    <w:pPr>
      <w:spacing w:after="0" w:line="240" w:lineRule="exact"/>
    </w:pPr>
    <w:rPr>
      <w:sz w:val="20"/>
      <w:lang w:val="en-US"/>
    </w:rPr>
  </w:style>
  <w:style w:type="character" w:customStyle="1" w:styleId="En-tteCar">
    <w:name w:val="En-tête Car"/>
    <w:basedOn w:val="Policepardfaut"/>
    <w:link w:val="En-tte"/>
    <w:uiPriority w:val="99"/>
    <w:rsid w:val="008747E0"/>
    <w:rPr>
      <w:sz w:val="20"/>
      <w:lang w:val="en-US"/>
    </w:rPr>
  </w:style>
  <w:style w:type="paragraph" w:styleId="Pieddepage">
    <w:name w:val="footer"/>
    <w:link w:val="PieddepageCar"/>
    <w:uiPriority w:val="99"/>
    <w:unhideWhenUsed/>
    <w:rsid w:val="008747E0"/>
    <w:pPr>
      <w:spacing w:after="0" w:line="240" w:lineRule="exact"/>
    </w:pPr>
    <w:rPr>
      <w:sz w:val="20"/>
      <w:lang w:val="en-US"/>
    </w:rPr>
  </w:style>
  <w:style w:type="character" w:customStyle="1" w:styleId="PieddepageCar">
    <w:name w:val="Pied de page Car"/>
    <w:basedOn w:val="Policepardfaut"/>
    <w:link w:val="Pieddepage"/>
    <w:uiPriority w:val="99"/>
    <w:rsid w:val="008747E0"/>
    <w:rPr>
      <w:sz w:val="20"/>
      <w:lang w:val="en-US"/>
    </w:rPr>
  </w:style>
  <w:style w:type="paragraph" w:styleId="Textedebulles">
    <w:name w:val="Balloon Text"/>
    <w:basedOn w:val="Normal"/>
    <w:link w:val="TextedebullesCar"/>
    <w:uiPriority w:val="99"/>
    <w:semiHidden/>
    <w:unhideWhenUsed/>
    <w:rsid w:val="008F44A4"/>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F44A4"/>
    <w:rPr>
      <w:rFonts w:ascii="Tahoma" w:hAnsi="Tahoma" w:cs="Tahoma"/>
      <w:sz w:val="16"/>
      <w:szCs w:val="16"/>
      <w:lang w:val="en-US"/>
    </w:rPr>
  </w:style>
  <w:style w:type="character" w:customStyle="1" w:styleId="Titre1Car">
    <w:name w:val="Titre 1 Car"/>
    <w:basedOn w:val="Policepardfaut"/>
    <w:link w:val="Titre1"/>
    <w:uiPriority w:val="9"/>
    <w:rsid w:val="00F55690"/>
    <w:rPr>
      <w:b/>
      <w:caps/>
      <w:color w:val="312783" w:themeColor="accent1"/>
      <w:sz w:val="30"/>
      <w:szCs w:val="30"/>
      <w:lang w:val="en-US"/>
    </w:rPr>
  </w:style>
  <w:style w:type="character" w:customStyle="1" w:styleId="Titre2Car">
    <w:name w:val="Titre 2 Car"/>
    <w:basedOn w:val="Policepardfaut"/>
    <w:link w:val="Titre2"/>
    <w:uiPriority w:val="9"/>
    <w:rsid w:val="00F55690"/>
    <w:rPr>
      <w:b/>
      <w:color w:val="312783" w:themeColor="accent1"/>
      <w:sz w:val="30"/>
      <w:szCs w:val="30"/>
      <w:lang w:val="en-US"/>
    </w:rPr>
  </w:style>
  <w:style w:type="paragraph" w:customStyle="1" w:styleId="Textedesaisie">
    <w:name w:val="Texte de saisie"/>
    <w:basedOn w:val="Normal"/>
    <w:rsid w:val="00BB4C49"/>
    <w:pPr>
      <w:jc w:val="both"/>
    </w:pPr>
  </w:style>
  <w:style w:type="paragraph" w:customStyle="1" w:styleId="Sparationtitre2">
    <w:name w:val="Séparation titre 2"/>
    <w:basedOn w:val="Textedesaisie"/>
    <w:rsid w:val="00F55690"/>
    <w:pPr>
      <w:pBdr>
        <w:top w:val="single" w:sz="4" w:space="1" w:color="312783" w:themeColor="accent1"/>
      </w:pBdr>
      <w:spacing w:line="160" w:lineRule="exact"/>
      <w:ind w:right="9157"/>
    </w:pPr>
  </w:style>
  <w:style w:type="table" w:styleId="Grilledutableau">
    <w:name w:val="Table Grid"/>
    <w:basedOn w:val="TableauNormal"/>
    <w:uiPriority w:val="59"/>
    <w:rsid w:val="00AE00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ar"/>
    <w:uiPriority w:val="99"/>
    <w:rsid w:val="00F32029"/>
    <w:pPr>
      <w:framePr w:wrap="around" w:vAnchor="page" w:hAnchor="margin" w:y="4140"/>
      <w:spacing w:line="160" w:lineRule="exact"/>
    </w:pPr>
    <w:rPr>
      <w:sz w:val="16"/>
      <w:szCs w:val="16"/>
    </w:rPr>
  </w:style>
  <w:style w:type="character" w:customStyle="1" w:styleId="DateCar">
    <w:name w:val="Date Car"/>
    <w:basedOn w:val="Policepardfaut"/>
    <w:link w:val="Date"/>
    <w:uiPriority w:val="99"/>
    <w:rsid w:val="00F32029"/>
    <w:rPr>
      <w:sz w:val="16"/>
      <w:szCs w:val="16"/>
      <w:lang w:val="en-US"/>
    </w:rPr>
  </w:style>
  <w:style w:type="paragraph" w:customStyle="1" w:styleId="Textedelobjet">
    <w:name w:val="Texte de l'objet"/>
    <w:basedOn w:val="Normal"/>
    <w:rsid w:val="00F32029"/>
    <w:pPr>
      <w:framePr w:wrap="around" w:vAnchor="page" w:hAnchor="margin" w:y="4282"/>
      <w:spacing w:line="312" w:lineRule="atLeast"/>
    </w:pPr>
    <w:rPr>
      <w:sz w:val="26"/>
      <w:szCs w:val="26"/>
    </w:rPr>
  </w:style>
  <w:style w:type="paragraph" w:customStyle="1" w:styleId="Intituldelobjet">
    <w:name w:val="Intitulé de l'objet"/>
    <w:basedOn w:val="Normal"/>
    <w:rsid w:val="00F32029"/>
    <w:pPr>
      <w:framePr w:wrap="around" w:vAnchor="page" w:hAnchor="margin" w:y="4282"/>
    </w:pPr>
    <w:rPr>
      <w:sz w:val="20"/>
      <w:szCs w:val="20"/>
    </w:rPr>
  </w:style>
  <w:style w:type="paragraph" w:customStyle="1" w:styleId="Rfrence">
    <w:name w:val="Référence"/>
    <w:basedOn w:val="Normal"/>
    <w:rsid w:val="00F32029"/>
    <w:pPr>
      <w:framePr w:wrap="around" w:vAnchor="page" w:hAnchor="margin" w:y="4282"/>
      <w:spacing w:line="160" w:lineRule="exact"/>
    </w:pPr>
    <w:rPr>
      <w:sz w:val="16"/>
      <w:szCs w:val="16"/>
    </w:rPr>
  </w:style>
  <w:style w:type="character" w:customStyle="1" w:styleId="Textebold">
    <w:name w:val="Texte bold"/>
    <w:basedOn w:val="Policepardfaut"/>
    <w:uiPriority w:val="1"/>
    <w:rsid w:val="00F32029"/>
    <w:rPr>
      <w:b/>
    </w:rPr>
  </w:style>
  <w:style w:type="paragraph" w:customStyle="1" w:styleId="Titreboilerplate">
    <w:name w:val="Titre boiler plate"/>
    <w:basedOn w:val="Pieddepage"/>
    <w:rsid w:val="00BA6580"/>
    <w:pPr>
      <w:spacing w:line="192" w:lineRule="exact"/>
    </w:pPr>
    <w:rPr>
      <w:b/>
      <w:color w:val="312783" w:themeColor="accent1"/>
      <w:sz w:val="16"/>
      <w:szCs w:val="16"/>
    </w:rPr>
  </w:style>
  <w:style w:type="paragraph" w:customStyle="1" w:styleId="Boilerplate">
    <w:name w:val="Boiler plate"/>
    <w:basedOn w:val="Pieddepage"/>
    <w:rsid w:val="00BA6580"/>
    <w:pPr>
      <w:spacing w:line="192" w:lineRule="exact"/>
      <w:jc w:val="both"/>
    </w:pPr>
    <w:rPr>
      <w:i/>
      <w:color w:val="312783" w:themeColor="accent1"/>
      <w:sz w:val="16"/>
      <w:szCs w:val="16"/>
    </w:rPr>
  </w:style>
  <w:style w:type="paragraph" w:customStyle="1" w:styleId="Texteencadr">
    <w:name w:val="Texte encadré"/>
    <w:basedOn w:val="Textedesaisie"/>
    <w:rsid w:val="00F55690"/>
    <w:pPr>
      <w:pBdr>
        <w:top w:val="single" w:sz="48" w:space="3" w:color="D8D8D8" w:themeColor="accent6"/>
        <w:left w:val="single" w:sz="48" w:space="11" w:color="D8D8D8" w:themeColor="accent6"/>
        <w:bottom w:val="single" w:sz="48" w:space="3" w:color="D8D8D8" w:themeColor="accent6"/>
        <w:right w:val="single" w:sz="48" w:space="11" w:color="D8D8D8" w:themeColor="accent6"/>
      </w:pBdr>
      <w:shd w:val="clear" w:color="auto" w:fill="D8D8D8" w:themeFill="accent6"/>
      <w:spacing w:line="300" w:lineRule="atLeast"/>
      <w:ind w:left="397" w:right="397"/>
    </w:pPr>
    <w:rPr>
      <w:color w:val="312783" w:themeColor="accent1"/>
    </w:rPr>
  </w:style>
  <w:style w:type="paragraph" w:customStyle="1" w:styleId="Titrecontact">
    <w:name w:val="Titre contact"/>
    <w:basedOn w:val="Normal"/>
    <w:rsid w:val="00F55690"/>
    <w:pPr>
      <w:framePr w:w="9639" w:h="57" w:wrap="notBeside" w:hAnchor="margin" w:yAlign="bottom" w:anchorLock="1"/>
      <w:spacing w:after="120" w:line="300" w:lineRule="atLeast"/>
    </w:pPr>
    <w:rPr>
      <w:b/>
      <w:color w:val="0080C7" w:themeColor="accent2"/>
    </w:rPr>
  </w:style>
  <w:style w:type="paragraph" w:customStyle="1" w:styleId="PrnomNom">
    <w:name w:val="Prénom Nom"/>
    <w:basedOn w:val="Normal"/>
    <w:rsid w:val="00F55690"/>
    <w:pPr>
      <w:framePr w:w="9639" w:h="57" w:wrap="notBeside" w:hAnchor="margin" w:yAlign="bottom" w:anchorLock="1"/>
      <w:spacing w:line="300" w:lineRule="atLeast"/>
    </w:pPr>
    <w:rPr>
      <w:b/>
      <w:color w:val="312783" w:themeColor="accent1"/>
    </w:rPr>
  </w:style>
  <w:style w:type="paragraph" w:customStyle="1" w:styleId="Textecontact">
    <w:name w:val="Texte contact"/>
    <w:basedOn w:val="Normal"/>
    <w:rsid w:val="00F55690"/>
    <w:pPr>
      <w:framePr w:w="9639" w:h="57" w:wrap="notBeside" w:hAnchor="margin" w:yAlign="bottom" w:anchorLock="1"/>
      <w:spacing w:line="220" w:lineRule="exact"/>
    </w:pPr>
    <w:rPr>
      <w:color w:val="312783" w:themeColor="accent1"/>
      <w:sz w:val="20"/>
      <w:szCs w:val="20"/>
    </w:rPr>
  </w:style>
  <w:style w:type="character" w:styleId="Lienhypertexte">
    <w:name w:val="Hyperlink"/>
    <w:basedOn w:val="Policepardfaut"/>
    <w:uiPriority w:val="99"/>
    <w:unhideWhenUsed/>
    <w:rsid w:val="00390699"/>
    <w:rPr>
      <w:color w:val="000000" w:themeColor="hyperlink"/>
      <w:u w:val="single"/>
    </w:rPr>
  </w:style>
  <w:style w:type="paragraph" w:styleId="Notedebasdepage">
    <w:name w:val="footnote text"/>
    <w:basedOn w:val="Normal"/>
    <w:link w:val="NotedebasdepageCar"/>
    <w:uiPriority w:val="99"/>
    <w:semiHidden/>
    <w:unhideWhenUsed/>
    <w:rsid w:val="007E4DEF"/>
    <w:pPr>
      <w:spacing w:line="240" w:lineRule="auto"/>
    </w:pPr>
    <w:rPr>
      <w:sz w:val="20"/>
      <w:szCs w:val="20"/>
    </w:rPr>
  </w:style>
  <w:style w:type="character" w:customStyle="1" w:styleId="NotedebasdepageCar">
    <w:name w:val="Note de bas de page Car"/>
    <w:basedOn w:val="Policepardfaut"/>
    <w:link w:val="Notedebasdepage"/>
    <w:uiPriority w:val="99"/>
    <w:semiHidden/>
    <w:rsid w:val="007E4DEF"/>
    <w:rPr>
      <w:sz w:val="20"/>
      <w:szCs w:val="20"/>
      <w:lang w:val="en-US"/>
    </w:rPr>
  </w:style>
  <w:style w:type="character" w:styleId="Appelnotedebasdep">
    <w:name w:val="footnote reference"/>
    <w:basedOn w:val="Policepardfaut"/>
    <w:uiPriority w:val="99"/>
    <w:semiHidden/>
    <w:unhideWhenUsed/>
    <w:rsid w:val="007E4DEF"/>
    <w:rPr>
      <w:vertAlign w:val="superscript"/>
    </w:rPr>
  </w:style>
  <w:style w:type="paragraph" w:styleId="Paragraphedeliste">
    <w:name w:val="List Paragraph"/>
    <w:basedOn w:val="Normal"/>
    <w:uiPriority w:val="34"/>
    <w:rsid w:val="00587EEF"/>
    <w:pPr>
      <w:ind w:left="720"/>
      <w:contextualSpacing/>
    </w:pPr>
  </w:style>
  <w:style w:type="paragraph" w:styleId="PrformatHTML">
    <w:name w:val="HTML Preformatted"/>
    <w:basedOn w:val="Normal"/>
    <w:link w:val="PrformatHTMLCar"/>
    <w:uiPriority w:val="99"/>
    <w:semiHidden/>
    <w:unhideWhenUsed/>
    <w:rsid w:val="006D2ADE"/>
    <w:pPr>
      <w:spacing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6D2ADE"/>
    <w:rPr>
      <w:rFonts w:ascii="Consolas" w:hAnsi="Consolas"/>
      <w:sz w:val="20"/>
      <w:szCs w:val="20"/>
      <w:lang w:val="en-US"/>
    </w:rPr>
  </w:style>
  <w:style w:type="paragraph" w:styleId="Commentaire">
    <w:name w:val="annotation text"/>
    <w:basedOn w:val="Normal"/>
    <w:link w:val="CommentaireCar"/>
    <w:uiPriority w:val="99"/>
    <w:unhideWhenUsed/>
    <w:rsid w:val="00A30C4A"/>
    <w:pPr>
      <w:spacing w:after="160" w:line="240" w:lineRule="auto"/>
    </w:pPr>
    <w:rPr>
      <w:sz w:val="20"/>
      <w:szCs w:val="20"/>
      <w:lang w:val="fr-FR"/>
    </w:rPr>
  </w:style>
  <w:style w:type="character" w:customStyle="1" w:styleId="CommentaireCar">
    <w:name w:val="Commentaire Car"/>
    <w:basedOn w:val="Policepardfaut"/>
    <w:link w:val="Commentaire"/>
    <w:uiPriority w:val="99"/>
    <w:rsid w:val="00A30C4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459703">
      <w:bodyDiv w:val="1"/>
      <w:marLeft w:val="0"/>
      <w:marRight w:val="0"/>
      <w:marTop w:val="0"/>
      <w:marBottom w:val="0"/>
      <w:divBdr>
        <w:top w:val="none" w:sz="0" w:space="0" w:color="auto"/>
        <w:left w:val="none" w:sz="0" w:space="0" w:color="auto"/>
        <w:bottom w:val="none" w:sz="0" w:space="0" w:color="auto"/>
        <w:right w:val="none" w:sz="0" w:space="0" w:color="auto"/>
      </w:divBdr>
    </w:div>
    <w:div w:id="207323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J:\MODELES%20FFA\13_POSITION%20PAPER%20UK%20et%20FR\document%20de%20position_fr.dotx" TargetMode="External"/></Relationships>
</file>

<file path=word/theme/theme1.xml><?xml version="1.0" encoding="utf-8"?>
<a:theme xmlns:a="http://schemas.openxmlformats.org/drawingml/2006/main" name="Thème Office">
  <a:themeElements>
    <a:clrScheme name="FFA Lettre Word">
      <a:dk1>
        <a:sysClr val="windowText" lastClr="000000"/>
      </a:dk1>
      <a:lt1>
        <a:sysClr val="window" lastClr="FFFFFF"/>
      </a:lt1>
      <a:dk2>
        <a:srgbClr val="312783"/>
      </a:dk2>
      <a:lt2>
        <a:srgbClr val="0080C7"/>
      </a:lt2>
      <a:accent1>
        <a:srgbClr val="312783"/>
      </a:accent1>
      <a:accent2>
        <a:srgbClr val="0080C7"/>
      </a:accent2>
      <a:accent3>
        <a:srgbClr val="4D4D4D"/>
      </a:accent3>
      <a:accent4>
        <a:srgbClr val="E84E0F"/>
      </a:accent4>
      <a:accent5>
        <a:srgbClr val="BFBFBF"/>
      </a:accent5>
      <a:accent6>
        <a:srgbClr val="D8D8D8"/>
      </a:accent6>
      <a:hlink>
        <a:srgbClr val="000000"/>
      </a:hlink>
      <a:folHlink>
        <a:srgbClr val="000000"/>
      </a:folHlink>
    </a:clrScheme>
    <a:fontScheme name="BAZ">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6415E-903D-4974-957F-FB67F07C4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 de position_fr.dotx</Template>
  <TotalTime>105</TotalTime>
  <Pages>9</Pages>
  <Words>4063</Words>
  <Characters>22347</Characters>
  <Application>Microsoft Office Word</Application>
  <DocSecurity>0</DocSecurity>
  <Lines>186</Lines>
  <Paragraphs>52</Paragraphs>
  <ScaleCrop>false</ScaleCrop>
  <HeadingPairs>
    <vt:vector size="2" baseType="variant">
      <vt:variant>
        <vt:lpstr>Titre</vt:lpstr>
      </vt:variant>
      <vt:variant>
        <vt:i4>1</vt:i4>
      </vt:variant>
    </vt:vector>
  </HeadingPairs>
  <TitlesOfParts>
    <vt:vector size="1" baseType="lpstr">
      <vt:lpstr>FFA</vt:lpstr>
    </vt:vector>
  </TitlesOfParts>
  <Manager>FFA</Manager>
  <Company>FFA</Company>
  <LinksUpToDate>false</LinksUpToDate>
  <CharactersWithSpaces>26358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FFA</dc:title>
  <dc:subject>FFA</dc:subject>
  <dc:creator>Marie BETOLAUD</dc:creator>
  <cp:lastModifiedBy>BETOLAUD Marie</cp:lastModifiedBy>
  <cp:revision>8</cp:revision>
  <cp:lastPrinted>2019-09-23T10:16:00Z</cp:lastPrinted>
  <dcterms:created xsi:type="dcterms:W3CDTF">2019-09-27T08:16:00Z</dcterms:created>
  <dcterms:modified xsi:type="dcterms:W3CDTF">2019-09-27T12:12:00Z</dcterms:modified>
</cp:coreProperties>
</file>